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CBE1E" w14:textId="77777777" w:rsidR="00C64E9D" w:rsidRDefault="00C64E9D" w:rsidP="00C64E9D">
      <w:pPr>
        <w:spacing w:line="480" w:lineRule="auto"/>
        <w:jc w:val="center"/>
      </w:pPr>
    </w:p>
    <w:p w14:paraId="09965F6A" w14:textId="77777777" w:rsidR="00C64E9D" w:rsidRDefault="00C64E9D" w:rsidP="00C64E9D">
      <w:pPr>
        <w:spacing w:line="480" w:lineRule="auto"/>
        <w:jc w:val="center"/>
      </w:pPr>
    </w:p>
    <w:p w14:paraId="68D7292A" w14:textId="77777777" w:rsidR="00C64E9D" w:rsidRDefault="00C64E9D" w:rsidP="00C64E9D">
      <w:pPr>
        <w:spacing w:line="480" w:lineRule="auto"/>
        <w:jc w:val="center"/>
      </w:pPr>
    </w:p>
    <w:p w14:paraId="21533149" w14:textId="77777777" w:rsidR="00C64E9D" w:rsidRDefault="00C64E9D" w:rsidP="00C64E9D">
      <w:pPr>
        <w:spacing w:line="480" w:lineRule="auto"/>
        <w:jc w:val="center"/>
      </w:pPr>
    </w:p>
    <w:p w14:paraId="0F968F1F" w14:textId="77777777" w:rsidR="00C64E9D" w:rsidRDefault="00C64E9D" w:rsidP="00C64E9D">
      <w:pPr>
        <w:spacing w:line="480" w:lineRule="auto"/>
        <w:jc w:val="center"/>
      </w:pPr>
    </w:p>
    <w:p w14:paraId="1DFD4452" w14:textId="77777777" w:rsidR="00C64E9D" w:rsidRDefault="00C64E9D" w:rsidP="00C64E9D">
      <w:pPr>
        <w:spacing w:line="480" w:lineRule="auto"/>
        <w:jc w:val="center"/>
      </w:pPr>
    </w:p>
    <w:p w14:paraId="1832D023" w14:textId="77777777" w:rsidR="00C64E9D" w:rsidRDefault="00C64E9D" w:rsidP="00C64E9D">
      <w:pPr>
        <w:spacing w:line="480" w:lineRule="auto"/>
        <w:jc w:val="center"/>
      </w:pPr>
    </w:p>
    <w:p w14:paraId="70679A17" w14:textId="77777777" w:rsidR="00C64E9D" w:rsidRDefault="00C64E9D" w:rsidP="00C64E9D">
      <w:pPr>
        <w:spacing w:line="480" w:lineRule="auto"/>
        <w:jc w:val="center"/>
      </w:pPr>
      <w:r>
        <w:t>The Intersectionality of Social Determinants of Health and Transportation Inequities: Investigating Health Outcomes among Women in the United States</w:t>
      </w:r>
    </w:p>
    <w:p w14:paraId="518F5A38" w14:textId="77777777" w:rsidR="00C64E9D" w:rsidRDefault="00C64E9D" w:rsidP="00C64E9D">
      <w:pPr>
        <w:spacing w:line="480" w:lineRule="auto"/>
        <w:jc w:val="center"/>
      </w:pPr>
    </w:p>
    <w:p w14:paraId="0384E58C" w14:textId="77777777" w:rsidR="00C64E9D" w:rsidRDefault="00C64E9D" w:rsidP="00C64E9D">
      <w:pPr>
        <w:spacing w:line="480" w:lineRule="auto"/>
        <w:jc w:val="center"/>
      </w:pPr>
    </w:p>
    <w:p w14:paraId="1C66DF1D" w14:textId="77777777" w:rsidR="00C64E9D" w:rsidRDefault="00C64E9D" w:rsidP="00C64E9D">
      <w:pPr>
        <w:spacing w:line="480" w:lineRule="auto"/>
        <w:jc w:val="center"/>
      </w:pPr>
    </w:p>
    <w:p w14:paraId="318A184E" w14:textId="77777777" w:rsidR="00C64E9D" w:rsidRDefault="00C64E9D" w:rsidP="00C64E9D">
      <w:pPr>
        <w:spacing w:line="480" w:lineRule="auto"/>
        <w:jc w:val="center"/>
      </w:pPr>
      <w:r>
        <w:t xml:space="preserve">Kris L. Hohn, Ph.D., </w:t>
      </w:r>
      <w:proofErr w:type="spellStart"/>
      <w:r>
        <w:t>MSSW</w:t>
      </w:r>
      <w:proofErr w:type="spellEnd"/>
    </w:p>
    <w:p w14:paraId="19D327BA" w14:textId="77777777" w:rsidR="00C64E9D" w:rsidRDefault="00C64E9D" w:rsidP="00C64E9D">
      <w:pPr>
        <w:spacing w:line="480" w:lineRule="auto"/>
        <w:jc w:val="center"/>
      </w:pPr>
      <w:r>
        <w:t>Assistant Professor</w:t>
      </w:r>
    </w:p>
    <w:p w14:paraId="54A7D7AC" w14:textId="77777777" w:rsidR="00C64E9D" w:rsidRDefault="00C64E9D" w:rsidP="00C64E9D">
      <w:pPr>
        <w:spacing w:line="480" w:lineRule="auto"/>
        <w:jc w:val="center"/>
      </w:pPr>
      <w:r>
        <w:t>University of North Carolina Wilmington</w:t>
      </w:r>
    </w:p>
    <w:p w14:paraId="4609B7CD" w14:textId="63DD7DD6" w:rsidR="00C64E9D" w:rsidRDefault="00C64E9D" w:rsidP="00C64E9D">
      <w:pPr>
        <w:spacing w:line="480" w:lineRule="auto"/>
        <w:jc w:val="center"/>
      </w:pPr>
      <w:r>
        <w:t>2018</w:t>
      </w:r>
    </w:p>
    <w:p w14:paraId="433170E8" w14:textId="63F46F39" w:rsidR="00FB7AB4" w:rsidRDefault="00FB7AB4" w:rsidP="00C64E9D">
      <w:pPr>
        <w:spacing w:line="480" w:lineRule="auto"/>
        <w:jc w:val="center"/>
      </w:pPr>
      <w:r>
        <w:t xml:space="preserve">For Submission to: </w:t>
      </w:r>
    </w:p>
    <w:p w14:paraId="2D060C8C" w14:textId="63E39E7B" w:rsidR="00FB7AB4" w:rsidRDefault="00FB7AB4" w:rsidP="00B437D5">
      <w:pPr>
        <w:spacing w:line="480" w:lineRule="auto"/>
        <w:jc w:val="center"/>
      </w:pPr>
      <w:r>
        <w:t xml:space="preserve">Journal of Transport and Health </w:t>
      </w:r>
    </w:p>
    <w:p w14:paraId="7DDD16E6" w14:textId="77777777" w:rsidR="00C64E9D" w:rsidRDefault="00C64E9D" w:rsidP="00C64E9D">
      <w:pPr>
        <w:spacing w:line="480" w:lineRule="auto"/>
        <w:jc w:val="center"/>
      </w:pPr>
    </w:p>
    <w:p w14:paraId="25C4772F" w14:textId="77777777" w:rsidR="00C64E9D" w:rsidRDefault="00C64E9D" w:rsidP="00C64E9D">
      <w:pPr>
        <w:spacing w:line="480" w:lineRule="auto"/>
        <w:jc w:val="center"/>
      </w:pPr>
    </w:p>
    <w:p w14:paraId="7D1D02D6" w14:textId="77777777" w:rsidR="00C64E9D" w:rsidRDefault="00C64E9D" w:rsidP="00C64E9D">
      <w:pPr>
        <w:spacing w:line="480" w:lineRule="auto"/>
        <w:jc w:val="center"/>
      </w:pPr>
    </w:p>
    <w:p w14:paraId="5D02D7DB" w14:textId="77777777" w:rsidR="00C64E9D" w:rsidRDefault="00C64E9D" w:rsidP="00C64E9D">
      <w:pPr>
        <w:spacing w:line="480" w:lineRule="auto"/>
        <w:jc w:val="center"/>
      </w:pPr>
    </w:p>
    <w:p w14:paraId="511FE02C" w14:textId="77777777" w:rsidR="00C64E9D" w:rsidRDefault="00C64E9D" w:rsidP="00C64E9D">
      <w:pPr>
        <w:spacing w:line="480" w:lineRule="auto"/>
        <w:jc w:val="center"/>
      </w:pPr>
    </w:p>
    <w:p w14:paraId="4EE7DC3D" w14:textId="77777777" w:rsidR="00C64E9D" w:rsidRDefault="00C64E9D" w:rsidP="00C64E9D">
      <w:pPr>
        <w:spacing w:line="480" w:lineRule="auto"/>
        <w:jc w:val="center"/>
      </w:pPr>
    </w:p>
    <w:p w14:paraId="2FF8EB59" w14:textId="77777777" w:rsidR="00C64E9D" w:rsidRDefault="00C64E9D" w:rsidP="00C64E9D">
      <w:pPr>
        <w:spacing w:line="480" w:lineRule="auto"/>
        <w:jc w:val="center"/>
      </w:pPr>
    </w:p>
    <w:p w14:paraId="7B699157" w14:textId="77777777" w:rsidR="00C64E9D" w:rsidRDefault="00C64E9D" w:rsidP="00C64E9D">
      <w:pPr>
        <w:spacing w:line="480" w:lineRule="auto"/>
        <w:jc w:val="center"/>
      </w:pPr>
      <w:r>
        <w:t>Abstract</w:t>
      </w:r>
    </w:p>
    <w:p w14:paraId="1BF9B8E9" w14:textId="77777777" w:rsidR="00C64E9D" w:rsidRDefault="00C64E9D" w:rsidP="00C64E9D">
      <w:pPr>
        <w:spacing w:line="480" w:lineRule="auto"/>
      </w:pPr>
      <w:r w:rsidRPr="00C64E9D">
        <w:t xml:space="preserve">The purpose of this investigation was to examine the </w:t>
      </w:r>
      <w:r>
        <w:t>intersectionality of various health-related</w:t>
      </w:r>
      <w:r w:rsidRPr="00C64E9D">
        <w:t xml:space="preserve"> factors leading to health disparities in relation to transportation barriers among women in the US.  </w:t>
      </w:r>
      <w:r w:rsidR="00873624">
        <w:t>Beginning in 2017</w:t>
      </w:r>
      <w:r>
        <w:t>, o</w:t>
      </w:r>
      <w:r w:rsidRPr="00C64E9D">
        <w:t xml:space="preserve">ver 1000 women completed an online </w:t>
      </w:r>
      <w:r>
        <w:t xml:space="preserve">anonymous </w:t>
      </w:r>
      <w:r w:rsidRPr="00C64E9D">
        <w:t xml:space="preserve">survey capturing information about health and transportation. Results indicated that women who do not own a personal vehicle are more likely to live in unsafe neighborhoods, with poorer neighborhood and housing quality, higher levels of neighborhood litter, and lower levels of perceived wellness. </w:t>
      </w:r>
    </w:p>
    <w:p w14:paraId="56377153" w14:textId="77777777" w:rsidR="00C64E9D" w:rsidRPr="00C64E9D" w:rsidRDefault="00C64E9D" w:rsidP="00C64E9D">
      <w:pPr>
        <w:spacing w:line="480" w:lineRule="auto"/>
      </w:pPr>
    </w:p>
    <w:p w14:paraId="28035D36" w14:textId="77777777" w:rsidR="00C9148C" w:rsidRDefault="00C9148C" w:rsidP="00C64E9D">
      <w:pPr>
        <w:spacing w:line="480" w:lineRule="auto"/>
      </w:pPr>
    </w:p>
    <w:p w14:paraId="241BB537" w14:textId="77777777" w:rsidR="00C64E9D" w:rsidRDefault="00C64E9D">
      <w:r>
        <w:br w:type="page"/>
      </w:r>
    </w:p>
    <w:p w14:paraId="5603B53A" w14:textId="77777777" w:rsidR="00C64E9D" w:rsidRPr="00C64E9D" w:rsidRDefault="00C64E9D" w:rsidP="00C64E9D">
      <w:pPr>
        <w:spacing w:line="480" w:lineRule="auto"/>
        <w:jc w:val="center"/>
        <w:rPr>
          <w:b/>
        </w:rPr>
      </w:pPr>
      <w:r w:rsidRPr="00C64E9D">
        <w:rPr>
          <w:b/>
        </w:rPr>
        <w:lastRenderedPageBreak/>
        <w:t>Introduction</w:t>
      </w:r>
    </w:p>
    <w:p w14:paraId="674C5F63" w14:textId="77777777" w:rsidR="00C64E9D" w:rsidRPr="00C64E9D" w:rsidRDefault="00C64E9D" w:rsidP="00C64E9D">
      <w:pPr>
        <w:spacing w:line="480" w:lineRule="auto"/>
        <w:ind w:firstLine="720"/>
      </w:pPr>
      <w:r w:rsidRPr="00C64E9D">
        <w:t>In 2010, The World Health Organization (WHO) published the Social Determinants of Health (SDH) Framework outlining the multifaceted approach to understanding health inequities (Solar &amp; Irwin, 2010). Although research and public awareness of health disparities across the U.S. has gained increasing awareness, the intersection of women’s health, racial/ethnic minority status, and transportation barriers has yet to be investigated within the SDH framework (Cho, Crenshaw, and McCall 2013; Crenshaw 1989).</w:t>
      </w:r>
    </w:p>
    <w:p w14:paraId="77F459B0" w14:textId="77777777" w:rsidR="00C64E9D" w:rsidRDefault="00C64E9D" w:rsidP="00C64E9D">
      <w:pPr>
        <w:spacing w:line="480" w:lineRule="auto"/>
        <w:ind w:firstLine="720"/>
      </w:pPr>
      <w:r w:rsidRPr="00C64E9D">
        <w:t xml:space="preserve">Among </w:t>
      </w:r>
      <w:proofErr w:type="spellStart"/>
      <w:r w:rsidRPr="00C64E9D">
        <w:t>SDH’s</w:t>
      </w:r>
      <w:proofErr w:type="spellEnd"/>
      <w:r w:rsidRPr="00C64E9D">
        <w:t xml:space="preserve"> complex web of factors, transportation barriers have been identified as predictors of health disparities (Syed, Gerber, &amp; Sharp, 2013). Moreover, data suggest that the longer life expectancies for females compared to </w:t>
      </w:r>
      <w:proofErr w:type="gramStart"/>
      <w:r w:rsidRPr="00C64E9D">
        <w:t>males</w:t>
      </w:r>
      <w:proofErr w:type="gramEnd"/>
      <w:r w:rsidRPr="00C64E9D">
        <w:t xml:space="preserve"> makes transportation dependence a greater issue for longer in their lives (Choi, </w:t>
      </w:r>
      <w:proofErr w:type="spellStart"/>
      <w:r w:rsidRPr="00C64E9D">
        <w:t>Mezuk</w:t>
      </w:r>
      <w:proofErr w:type="spellEnd"/>
      <w:r w:rsidRPr="00C64E9D">
        <w:t xml:space="preserve">, </w:t>
      </w:r>
      <w:proofErr w:type="spellStart"/>
      <w:r w:rsidRPr="00C64E9D">
        <w:t>Lohman</w:t>
      </w:r>
      <w:proofErr w:type="spellEnd"/>
      <w:r w:rsidRPr="00C64E9D">
        <w:t xml:space="preserve">, Edwards, &amp; </w:t>
      </w:r>
      <w:proofErr w:type="spellStart"/>
      <w:r w:rsidRPr="00C64E9D">
        <w:t>Rebok</w:t>
      </w:r>
      <w:proofErr w:type="spellEnd"/>
      <w:r w:rsidRPr="00C64E9D">
        <w:t xml:space="preserve">, 2012). </w:t>
      </w:r>
    </w:p>
    <w:p w14:paraId="0E4A5474" w14:textId="6212F6B8" w:rsidR="00581C14" w:rsidRDefault="00C64E9D" w:rsidP="00B437D5">
      <w:pPr>
        <w:spacing w:line="480" w:lineRule="auto"/>
        <w:ind w:firstLine="720"/>
      </w:pPr>
      <w:proofErr w:type="gramStart"/>
      <w:r w:rsidRPr="00C64E9D">
        <w:t>Also</w:t>
      </w:r>
      <w:proofErr w:type="gramEnd"/>
      <w:r w:rsidRPr="00C64E9D">
        <w:t>, we know that minority women are more at-risk for transportation deficiency (Kim, 2011) and poor health outcomes (</w:t>
      </w:r>
      <w:proofErr w:type="spellStart"/>
      <w:r w:rsidRPr="00C64E9D">
        <w:t>Beckie</w:t>
      </w:r>
      <w:proofErr w:type="spellEnd"/>
      <w:r w:rsidRPr="00C64E9D">
        <w:t xml:space="preserve">, 2012; Wang &amp; </w:t>
      </w:r>
      <w:proofErr w:type="spellStart"/>
      <w:r w:rsidRPr="00C64E9D">
        <w:t>Beydoun</w:t>
      </w:r>
      <w:proofErr w:type="spellEnd"/>
      <w:r w:rsidRPr="00C64E9D">
        <w:t xml:space="preserve">, 2007; Ward et al., 2004). </w:t>
      </w:r>
      <w:proofErr w:type="gramStart"/>
      <w:r w:rsidRPr="00C64E9D">
        <w:t>As individuals age, an increase in transportation barriers complicate opportunities for self-management and healthcare visits (</w:t>
      </w:r>
      <w:proofErr w:type="spellStart"/>
      <w:r w:rsidRPr="00C64E9D">
        <w:t>Adorno</w:t>
      </w:r>
      <w:proofErr w:type="spellEnd"/>
      <w:r w:rsidRPr="00C64E9D">
        <w:t xml:space="preserve">, Fields, Cronley, Parekh, &amp; </w:t>
      </w:r>
      <w:proofErr w:type="spellStart"/>
      <w:r w:rsidRPr="00C64E9D">
        <w:t>Magruder</w:t>
      </w:r>
      <w:proofErr w:type="spellEnd"/>
      <w:r w:rsidRPr="00C64E9D">
        <w:t>, 2016).</w:t>
      </w:r>
      <w:proofErr w:type="gramEnd"/>
      <w:r w:rsidRPr="00C64E9D">
        <w:t xml:space="preserve"> This investigation will explore the </w:t>
      </w:r>
      <w:r w:rsidR="00581C14">
        <w:t>extent of</w:t>
      </w:r>
      <w:r w:rsidRPr="00C64E9D">
        <w:t xml:space="preserve"> transportation inequities across the complex SDH model </w:t>
      </w:r>
      <w:r w:rsidR="00581C14">
        <w:t xml:space="preserve">and its relationship with </w:t>
      </w:r>
      <w:r w:rsidRPr="00C64E9D">
        <w:t xml:space="preserve">health outcomes experienced by women. </w:t>
      </w:r>
    </w:p>
    <w:p w14:paraId="4C8533F2" w14:textId="77777777" w:rsidR="00C64E9D" w:rsidRPr="00C64E9D" w:rsidRDefault="00C64E9D" w:rsidP="00C64E9D">
      <w:pPr>
        <w:spacing w:line="480" w:lineRule="auto"/>
        <w:jc w:val="center"/>
        <w:rPr>
          <w:b/>
        </w:rPr>
      </w:pPr>
      <w:r w:rsidRPr="00C64E9D">
        <w:rPr>
          <w:b/>
        </w:rPr>
        <w:t>Methods</w:t>
      </w:r>
    </w:p>
    <w:p w14:paraId="2D26A2CE" w14:textId="51093477" w:rsidR="00C64E9D" w:rsidRPr="00C64E9D" w:rsidRDefault="00C64E9D" w:rsidP="00737220">
      <w:pPr>
        <w:spacing w:line="480" w:lineRule="auto"/>
        <w:ind w:firstLine="720"/>
      </w:pPr>
      <w:r w:rsidRPr="00C64E9D">
        <w:t>Adult females (18 and over) who live in the U.S. were recruited through online with no financial incentives. The survey was distributed across social media websites (Facebook and Twitter), advertised across the Internet discussion boards on Reddit.com, and several listserv groups for three months</w:t>
      </w:r>
      <w:r w:rsidR="00873624">
        <w:t xml:space="preserve"> beginning in 2017</w:t>
      </w:r>
      <w:r w:rsidRPr="00C64E9D">
        <w:t>.</w:t>
      </w:r>
      <w:r w:rsidR="00737220">
        <w:t xml:space="preserve"> </w:t>
      </w:r>
      <w:r w:rsidR="00737220" w:rsidRPr="00C64E9D">
        <w:t>Utilizing SPSS</w:t>
      </w:r>
      <w:r w:rsidR="00737220">
        <w:t>-24 (IBM, 2016)</w:t>
      </w:r>
      <w:r w:rsidR="00737220" w:rsidRPr="00C64E9D">
        <w:t xml:space="preserve">, various </w:t>
      </w:r>
      <w:r w:rsidR="00737220">
        <w:t>health-</w:t>
      </w:r>
      <w:r w:rsidR="00737220">
        <w:lastRenderedPageBreak/>
        <w:t xml:space="preserve">related </w:t>
      </w:r>
      <w:r w:rsidR="00737220" w:rsidRPr="00C64E9D">
        <w:t xml:space="preserve">factors were analyzed to test for the impact of transportation barriers through a multiple </w:t>
      </w:r>
      <w:r w:rsidR="00737220">
        <w:t xml:space="preserve">linear </w:t>
      </w:r>
      <w:r w:rsidR="00737220" w:rsidRPr="00C64E9D">
        <w:t>regression.</w:t>
      </w:r>
    </w:p>
    <w:p w14:paraId="6188683E" w14:textId="69977AE7" w:rsidR="00581C14" w:rsidRPr="00B437D5" w:rsidRDefault="00581C14" w:rsidP="00B437D5">
      <w:pPr>
        <w:spacing w:line="480" w:lineRule="auto"/>
        <w:rPr>
          <w:b/>
        </w:rPr>
      </w:pPr>
      <w:r>
        <w:rPr>
          <w:b/>
        </w:rPr>
        <w:t>Measures</w:t>
      </w:r>
    </w:p>
    <w:p w14:paraId="3E409526" w14:textId="03F570DC" w:rsidR="00873624" w:rsidRDefault="00581C14" w:rsidP="00873624">
      <w:pPr>
        <w:spacing w:line="480" w:lineRule="auto"/>
        <w:ind w:firstLine="720"/>
      </w:pPr>
      <w:r>
        <w:t xml:space="preserve">The key outcome was overall </w:t>
      </w:r>
      <w:r w:rsidRPr="00B437D5">
        <w:rPr>
          <w:i/>
        </w:rPr>
        <w:t>perceived health</w:t>
      </w:r>
      <w:r>
        <w:t xml:space="preserve">, and researchers used </w:t>
      </w:r>
      <w:r w:rsidR="00C64E9D" w:rsidRPr="00B437D5">
        <w:rPr>
          <w:i/>
        </w:rPr>
        <w:t>The Perceived Wellness Survey (PWS</w:t>
      </w:r>
      <w:r w:rsidR="00C64E9D" w:rsidRPr="00C64E9D">
        <w:t xml:space="preserve">) to </w:t>
      </w:r>
      <w:r>
        <w:t>measure this variable</w:t>
      </w:r>
      <w:r w:rsidR="00C64E9D" w:rsidRPr="00C64E9D">
        <w:t xml:space="preserve"> (Adams, </w:t>
      </w:r>
      <w:proofErr w:type="spellStart"/>
      <w:r w:rsidR="00C64E9D" w:rsidRPr="00C64E9D">
        <w:t>Bezner</w:t>
      </w:r>
      <w:proofErr w:type="spellEnd"/>
      <w:r w:rsidR="00C64E9D" w:rsidRPr="00C64E9D">
        <w:t xml:space="preserve">, Garner, &amp; Woodruff, 1998). </w:t>
      </w:r>
      <w:r w:rsidR="00873624" w:rsidRPr="00B233ED">
        <w:t xml:space="preserve">The </w:t>
      </w:r>
      <w:r w:rsidR="00873624">
        <w:t>PWS (Adams et al., 1998) is 36-item survey contained six subscales with six questions per subscale: Psychological, emotional, social, physical, spiritual, and intellectual wellness. A 6-point Likert scale was available for each question (1, Very strongly disagree to 6, Very strongly agree).</w:t>
      </w:r>
    </w:p>
    <w:p w14:paraId="4C82AD16" w14:textId="50EB369D" w:rsidR="00581C14" w:rsidRDefault="00581C14" w:rsidP="002D3C98">
      <w:pPr>
        <w:spacing w:line="480" w:lineRule="auto"/>
        <w:ind w:firstLine="720"/>
      </w:pPr>
      <w:r>
        <w:t xml:space="preserve">The primary predictor variable was </w:t>
      </w:r>
      <w:r w:rsidRPr="00B437D5">
        <w:rPr>
          <w:i/>
        </w:rPr>
        <w:t>transportation barriers</w:t>
      </w:r>
      <w:r>
        <w:t xml:space="preserve">. The researchers used </w:t>
      </w:r>
      <w:r w:rsidR="002F1565" w:rsidRPr="00B437D5">
        <w:rPr>
          <w:i/>
        </w:rPr>
        <w:t>c</w:t>
      </w:r>
      <w:r w:rsidR="00660B15" w:rsidRPr="00B437D5">
        <w:rPr>
          <w:i/>
        </w:rPr>
        <w:t xml:space="preserve">ar ownership </w:t>
      </w:r>
      <w:r>
        <w:t xml:space="preserve">as a proxy indicator of </w:t>
      </w:r>
      <w:r w:rsidRPr="00581C14">
        <w:t>transportation barriers</w:t>
      </w:r>
      <w:r>
        <w:t xml:space="preserve"> due to the recognition that car ownership in the United States is a fundamental transportation resource</w:t>
      </w:r>
      <w:r w:rsidR="00B437D5">
        <w:t xml:space="preserve">. </w:t>
      </w:r>
      <w:r>
        <w:t xml:space="preserve">Car ownership </w:t>
      </w:r>
      <w:r w:rsidR="00660B15">
        <w:t>was dichotomized as a Yes/</w:t>
      </w:r>
      <w:r w:rsidR="00660B15" w:rsidRPr="00737220">
        <w:t xml:space="preserve">No </w:t>
      </w:r>
      <w:r w:rsidR="002F1565" w:rsidRPr="00737220">
        <w:t xml:space="preserve">response to the question: </w:t>
      </w:r>
      <w:r w:rsidR="002F1565" w:rsidRPr="00737220">
        <w:rPr>
          <w:i/>
        </w:rPr>
        <w:t>Do you drive a personal automobile?</w:t>
      </w:r>
      <w:r w:rsidR="00660B15" w:rsidRPr="00737220">
        <w:t xml:space="preserve"> </w:t>
      </w:r>
    </w:p>
    <w:p w14:paraId="286735EC" w14:textId="6A9AF41F" w:rsidR="00DF6DDE" w:rsidRDefault="00581C14" w:rsidP="00873624">
      <w:pPr>
        <w:spacing w:line="480" w:lineRule="auto"/>
        <w:ind w:firstLine="720"/>
      </w:pPr>
      <w:r>
        <w:rPr>
          <w:color w:val="000000" w:themeColor="text1"/>
        </w:rPr>
        <w:t xml:space="preserve">Additional variables included designed to capture respondents’ built environments were </w:t>
      </w:r>
      <w:r>
        <w:rPr>
          <w:i/>
          <w:color w:val="000000" w:themeColor="text1"/>
        </w:rPr>
        <w:t xml:space="preserve">housing quality </w:t>
      </w:r>
      <w:r>
        <w:rPr>
          <w:color w:val="000000" w:themeColor="text1"/>
        </w:rPr>
        <w:t xml:space="preserve">and </w:t>
      </w:r>
      <w:r>
        <w:rPr>
          <w:i/>
          <w:color w:val="000000" w:themeColor="text1"/>
        </w:rPr>
        <w:t>neighborhood safety</w:t>
      </w:r>
      <w:r>
        <w:rPr>
          <w:color w:val="000000" w:themeColor="text1"/>
        </w:rPr>
        <w:t xml:space="preserve">. </w:t>
      </w:r>
      <w:r w:rsidR="00DF6DDE" w:rsidRPr="00B437D5">
        <w:rPr>
          <w:i/>
          <w:color w:val="000000" w:themeColor="text1"/>
        </w:rPr>
        <w:t>Housing quality</w:t>
      </w:r>
      <w:r w:rsidR="00DF6DDE" w:rsidRPr="00737220">
        <w:rPr>
          <w:color w:val="000000" w:themeColor="text1"/>
        </w:rPr>
        <w:t xml:space="preserve"> was captured through the values of</w:t>
      </w:r>
      <w:r w:rsidR="00DF6DDE" w:rsidRPr="00737220">
        <w:rPr>
          <w:b/>
          <w:color w:val="000000" w:themeColor="text1"/>
        </w:rPr>
        <w:t xml:space="preserve"> </w:t>
      </w:r>
      <w:r w:rsidR="00DF6DDE" w:rsidRPr="00737220">
        <w:rPr>
          <w:i/>
        </w:rPr>
        <w:t>Excellent (mint condition, one minor fault), Good (good except minor isolated repairs), Mixed (mix of well and poorly maintained items), and Poor or very poor (obvious and significant neglect).</w:t>
      </w:r>
      <w:r w:rsidR="00DF6DDE" w:rsidRPr="00737220">
        <w:t xml:space="preserve"> </w:t>
      </w:r>
      <w:r w:rsidR="00DF6DDE" w:rsidRPr="00737220">
        <w:rPr>
          <w:lang w:eastAsia="ja-JP"/>
        </w:rPr>
        <w:t>This variable was calculated as a continuous variable by scoring the participant with one point for each increasing risk from excellent (0) to Poor or very poor (3).</w:t>
      </w:r>
      <w:r w:rsidR="00DF6DDE" w:rsidRPr="00737220">
        <w:t xml:space="preserve"> </w:t>
      </w:r>
      <w:r w:rsidR="00DF6DDE" w:rsidRPr="00B437D5">
        <w:rPr>
          <w:i/>
        </w:rPr>
        <w:t xml:space="preserve">Neighborhood safety </w:t>
      </w:r>
      <w:r w:rsidR="00DF6DDE" w:rsidRPr="00737220">
        <w:t xml:space="preserve">was measured as Extremely safe (0), Very safe (1), </w:t>
      </w:r>
      <w:proofErr w:type="gramStart"/>
      <w:r w:rsidR="00DF6DDE" w:rsidRPr="00737220">
        <w:t>Somewhat</w:t>
      </w:r>
      <w:proofErr w:type="gramEnd"/>
      <w:r w:rsidR="00DF6DDE" w:rsidRPr="00737220">
        <w:t xml:space="preserve"> safe (2), Very unsafe (3), and Extreme unsafe (4).</w:t>
      </w:r>
      <w:r w:rsidR="00737220">
        <w:t xml:space="preserve"> </w:t>
      </w:r>
      <w:r w:rsidR="00DF6DDE" w:rsidRPr="00737220">
        <w:t>Neighborhood safety was measured as Excellent (mint condition, one minor fault, 0), Good (good except minor isolated repairs, 1), Mixed (mix of well and poorly maintained items, 2), and Poor or very poor (obvious and significant neglect, 3). Neighborhood</w:t>
      </w:r>
      <w:r w:rsidR="00DF6DDE">
        <w:t xml:space="preserve"> </w:t>
      </w:r>
      <w:r w:rsidR="00DF6DDE">
        <w:lastRenderedPageBreak/>
        <w:t>litter captured as n</w:t>
      </w:r>
      <w:r w:rsidR="00DF6DDE" w:rsidRPr="009B53A9">
        <w:t>o litter</w:t>
      </w:r>
      <w:r w:rsidR="00DF6DDE">
        <w:t xml:space="preserve"> (0), p</w:t>
      </w:r>
      <w:r w:rsidR="00DF6DDE" w:rsidRPr="009B53A9">
        <w:t>redominantly free of litter except for some small items</w:t>
      </w:r>
      <w:r w:rsidR="00DF6DDE">
        <w:t xml:space="preserve"> (1), w</w:t>
      </w:r>
      <w:r w:rsidR="00DF6DDE" w:rsidRPr="009B53A9">
        <w:t>idespread distribution of litter with minor accumulations</w:t>
      </w:r>
      <w:r w:rsidR="00DF6DDE">
        <w:t xml:space="preserve"> (2), and h</w:t>
      </w:r>
      <w:r w:rsidR="00DF6DDE" w:rsidRPr="009B53A9">
        <w:t>eavily littered with significant accumulations</w:t>
      </w:r>
      <w:r w:rsidR="00DF6DDE">
        <w:t xml:space="preserve"> (3).</w:t>
      </w:r>
    </w:p>
    <w:p w14:paraId="6D7497AB" w14:textId="77777777" w:rsidR="00C64E9D" w:rsidRPr="00C64E9D" w:rsidRDefault="00C64E9D" w:rsidP="00C64E9D">
      <w:pPr>
        <w:spacing w:line="480" w:lineRule="auto"/>
        <w:jc w:val="center"/>
        <w:rPr>
          <w:b/>
        </w:rPr>
      </w:pPr>
      <w:r w:rsidRPr="00C64E9D">
        <w:rPr>
          <w:b/>
        </w:rPr>
        <w:t>Results</w:t>
      </w:r>
    </w:p>
    <w:p w14:paraId="2CEB6C1D" w14:textId="77777777" w:rsidR="00C64E9D" w:rsidRPr="00C64E9D" w:rsidRDefault="00C64E9D" w:rsidP="00C64E9D">
      <w:pPr>
        <w:spacing w:line="480" w:lineRule="auto"/>
        <w:ind w:firstLine="720"/>
      </w:pPr>
      <w:r w:rsidRPr="00C64E9D">
        <w:t>The average age of the sample was 33.22 years (</w:t>
      </w:r>
      <w:r w:rsidRPr="002F1565">
        <w:rPr>
          <w:i/>
        </w:rPr>
        <w:t>SD</w:t>
      </w:r>
      <w:r w:rsidRPr="00C64E9D">
        <w:t>=10.97), with a range between 18 and 84 years (</w:t>
      </w:r>
      <w:r w:rsidRPr="002F1565">
        <w:rPr>
          <w:i/>
        </w:rPr>
        <w:t>N</w:t>
      </w:r>
      <w:r w:rsidR="002F1565">
        <w:t>=1028</w:t>
      </w:r>
      <w:r w:rsidRPr="00C64E9D">
        <w:t>). The majority (84.2%) of the respondents were White non-Hispanic (</w:t>
      </w:r>
      <w:r w:rsidRPr="002F1565">
        <w:rPr>
          <w:i/>
        </w:rPr>
        <w:t>n</w:t>
      </w:r>
      <w:r w:rsidRPr="00C64E9D">
        <w:t>=868). There was not a significant association between racial categories (White, Black, and Latina) and car ownership (</w:t>
      </w:r>
      <w:proofErr w:type="spellStart"/>
      <w:proofErr w:type="gramStart"/>
      <w:r w:rsidRPr="002F1565">
        <w:rPr>
          <w:i/>
          <w:iCs/>
        </w:rPr>
        <w:t>Χ</w:t>
      </w:r>
      <w:r w:rsidRPr="002F1565">
        <w:rPr>
          <w:i/>
          <w:vertAlign w:val="superscript"/>
        </w:rPr>
        <w:t>2</w:t>
      </w:r>
      <w:proofErr w:type="spellEnd"/>
      <w:r w:rsidRPr="00C64E9D">
        <w:t>(</w:t>
      </w:r>
      <w:proofErr w:type="gramEnd"/>
      <w:r w:rsidRPr="00C64E9D">
        <w:t xml:space="preserve">2)=2.87, </w:t>
      </w:r>
      <w:r w:rsidRPr="002F1565">
        <w:rPr>
          <w:i/>
        </w:rPr>
        <w:t>p</w:t>
      </w:r>
      <w:r w:rsidRPr="00C64E9D">
        <w:t xml:space="preserve">=0.238). Sexual minority women, however, had significantly higher percentages of not owning a car than their heterosexual peers (60% </w:t>
      </w:r>
      <w:r w:rsidRPr="002F1565">
        <w:rPr>
          <w:i/>
        </w:rPr>
        <w:t>vs.</w:t>
      </w:r>
      <w:r w:rsidRPr="00C64E9D">
        <w:t xml:space="preserve"> 40%, (</w:t>
      </w:r>
      <w:proofErr w:type="spellStart"/>
      <w:proofErr w:type="gramStart"/>
      <w:r w:rsidRPr="00C64E9D">
        <w:rPr>
          <w:i/>
          <w:iCs/>
        </w:rPr>
        <w:t>Χ</w:t>
      </w:r>
      <w:r w:rsidRPr="00C64E9D">
        <w:rPr>
          <w:vertAlign w:val="superscript"/>
        </w:rPr>
        <w:t>2</w:t>
      </w:r>
      <w:proofErr w:type="spellEnd"/>
      <w:r w:rsidRPr="00C64E9D">
        <w:t>(</w:t>
      </w:r>
      <w:proofErr w:type="gramEnd"/>
      <w:r w:rsidRPr="00C64E9D">
        <w:t xml:space="preserve">1)=53.38, </w:t>
      </w:r>
      <w:r w:rsidRPr="002F1565">
        <w:rPr>
          <w:i/>
        </w:rPr>
        <w:t>p</w:t>
      </w:r>
      <w:r w:rsidRPr="00C64E9D">
        <w:t>&lt;0.001), accounting for 23% of the variance (</w:t>
      </w:r>
      <w:proofErr w:type="spellStart"/>
      <w:r w:rsidR="002F1565">
        <w:rPr>
          <w:i/>
        </w:rPr>
        <w:t>r</w:t>
      </w:r>
      <w:r w:rsidRPr="002F1565">
        <w:rPr>
          <w:i/>
          <w:vertAlign w:val="superscript"/>
        </w:rPr>
        <w:t>2</w:t>
      </w:r>
      <w:proofErr w:type="spellEnd"/>
      <w:r w:rsidRPr="00C64E9D">
        <w:t>=0.229).</w:t>
      </w:r>
    </w:p>
    <w:p w14:paraId="47CF31D8" w14:textId="16248655" w:rsidR="00B764D2" w:rsidRDefault="00B764D2" w:rsidP="00B764D2">
      <w:pPr>
        <w:spacing w:line="480" w:lineRule="auto"/>
        <w:ind w:firstLine="720"/>
      </w:pPr>
      <w:r>
        <w:t>An</w:t>
      </w:r>
      <w:r w:rsidRPr="00C64E9D">
        <w:t xml:space="preserve"> independent samples t-test revealed that women with a car reported statistically more health diagnoses (</w:t>
      </w:r>
      <w:r w:rsidRPr="002F1565">
        <w:rPr>
          <w:i/>
        </w:rPr>
        <w:t>M</w:t>
      </w:r>
      <w:r w:rsidRPr="00C64E9D">
        <w:t xml:space="preserve">=2.34, </w:t>
      </w:r>
      <w:r w:rsidRPr="002F1565">
        <w:rPr>
          <w:i/>
        </w:rPr>
        <w:t>SD</w:t>
      </w:r>
      <w:r w:rsidRPr="00C64E9D">
        <w:t>=2.30) than women without a car (</w:t>
      </w:r>
      <w:r w:rsidRPr="002F1565">
        <w:rPr>
          <w:i/>
        </w:rPr>
        <w:t>M</w:t>
      </w:r>
      <w:r w:rsidRPr="00C64E9D">
        <w:t xml:space="preserve">=1.90, </w:t>
      </w:r>
      <w:r w:rsidRPr="002F1565">
        <w:rPr>
          <w:i/>
        </w:rPr>
        <w:t>SD</w:t>
      </w:r>
      <w:r w:rsidRPr="00C64E9D">
        <w:t xml:space="preserve">=1.72), </w:t>
      </w:r>
      <w:proofErr w:type="gramStart"/>
      <w:r w:rsidRPr="002F1565">
        <w:rPr>
          <w:i/>
        </w:rPr>
        <w:t>t</w:t>
      </w:r>
      <w:r w:rsidRPr="00C64E9D">
        <w:t>(</w:t>
      </w:r>
      <w:proofErr w:type="gramEnd"/>
      <w:r w:rsidRPr="00C64E9D">
        <w:t xml:space="preserve">250.95)=-2.75, </w:t>
      </w:r>
      <w:r w:rsidRPr="002F1565">
        <w:rPr>
          <w:i/>
        </w:rPr>
        <w:t>p</w:t>
      </w:r>
      <w:r w:rsidRPr="00C64E9D">
        <w:t>&lt;0.001).</w:t>
      </w:r>
      <w:r>
        <w:t xml:space="preserve"> Specifically, there was a significant association between women with high blood pressure/hypertension and car ownership </w:t>
      </w:r>
      <w:r w:rsidRPr="00C64E9D">
        <w:t>(</w:t>
      </w:r>
      <w:proofErr w:type="spellStart"/>
      <w:proofErr w:type="gramStart"/>
      <w:r w:rsidRPr="00896BF1">
        <w:rPr>
          <w:i/>
          <w:iCs/>
        </w:rPr>
        <w:t>Χ</w:t>
      </w:r>
      <w:r w:rsidRPr="00896BF1">
        <w:rPr>
          <w:i/>
          <w:vertAlign w:val="superscript"/>
        </w:rPr>
        <w:t>2</w:t>
      </w:r>
      <w:proofErr w:type="spellEnd"/>
      <w:r>
        <w:t>(</w:t>
      </w:r>
      <w:proofErr w:type="gramEnd"/>
      <w:r>
        <w:t>1)=4.01</w:t>
      </w:r>
      <w:r w:rsidRPr="00C64E9D">
        <w:t xml:space="preserve">, </w:t>
      </w:r>
      <w:r w:rsidRPr="002F1565">
        <w:rPr>
          <w:i/>
        </w:rPr>
        <w:t>p</w:t>
      </w:r>
      <w:r>
        <w:t>=0.045) with 84% of women with hypertension owning a car. There was also a significant association between women with high cholesterol and car ownership (</w:t>
      </w:r>
      <w:proofErr w:type="spellStart"/>
      <w:proofErr w:type="gramStart"/>
      <w:r w:rsidRPr="00896BF1">
        <w:rPr>
          <w:i/>
          <w:iCs/>
        </w:rPr>
        <w:t>Χ</w:t>
      </w:r>
      <w:r w:rsidRPr="00896BF1">
        <w:rPr>
          <w:i/>
          <w:vertAlign w:val="superscript"/>
        </w:rPr>
        <w:t>2</w:t>
      </w:r>
      <w:proofErr w:type="spellEnd"/>
      <w:r>
        <w:t>(</w:t>
      </w:r>
      <w:proofErr w:type="gramEnd"/>
      <w:r>
        <w:t>1)=4.48</w:t>
      </w:r>
      <w:r w:rsidRPr="00C64E9D">
        <w:t xml:space="preserve">, </w:t>
      </w:r>
      <w:r w:rsidRPr="002F1565">
        <w:rPr>
          <w:i/>
        </w:rPr>
        <w:t>p</w:t>
      </w:r>
      <w:r>
        <w:t>=0.034) with 84% of women with high cholesterol owning a car. Similarly, there was a significant association between women with obesity and car ownership (</w:t>
      </w:r>
      <w:proofErr w:type="spellStart"/>
      <w:proofErr w:type="gramStart"/>
      <w:r w:rsidRPr="00896BF1">
        <w:rPr>
          <w:i/>
          <w:iCs/>
        </w:rPr>
        <w:t>Χ</w:t>
      </w:r>
      <w:r w:rsidRPr="00896BF1">
        <w:rPr>
          <w:i/>
          <w:vertAlign w:val="superscript"/>
        </w:rPr>
        <w:t>2</w:t>
      </w:r>
      <w:proofErr w:type="spellEnd"/>
      <w:r>
        <w:t>(</w:t>
      </w:r>
      <w:proofErr w:type="gramEnd"/>
      <w:r>
        <w:t>1)=7.75</w:t>
      </w:r>
      <w:r w:rsidRPr="00C64E9D">
        <w:t xml:space="preserve">, </w:t>
      </w:r>
      <w:r w:rsidRPr="002F1565">
        <w:rPr>
          <w:i/>
        </w:rPr>
        <w:t>p</w:t>
      </w:r>
      <w:r>
        <w:t>=0.005) with 84% of car owning women diagnosed with obesity.</w:t>
      </w:r>
    </w:p>
    <w:p w14:paraId="196185AD" w14:textId="21E0BF32" w:rsidR="002E5822" w:rsidRPr="002E5822" w:rsidRDefault="00B764D2" w:rsidP="00B437D5">
      <w:pPr>
        <w:spacing w:line="480" w:lineRule="auto"/>
        <w:ind w:firstLine="720"/>
      </w:pPr>
      <w:r>
        <w:t>Self-reported height and weight was tested to understand current BMI as a health risk. W</w:t>
      </w:r>
      <w:r w:rsidR="00C64E9D" w:rsidRPr="00C64E9D">
        <w:t xml:space="preserve">omen who did not </w:t>
      </w:r>
      <w:r w:rsidR="00B437D5">
        <w:t xml:space="preserve">own a car </w:t>
      </w:r>
      <w:r w:rsidR="00C64E9D" w:rsidRPr="00C64E9D">
        <w:t xml:space="preserve">had significantly lower percentages of being overweight (19% </w:t>
      </w:r>
      <w:r w:rsidR="00C64E9D" w:rsidRPr="002F1565">
        <w:rPr>
          <w:i/>
        </w:rPr>
        <w:t>vs.</w:t>
      </w:r>
      <w:r w:rsidR="00C64E9D" w:rsidRPr="00C64E9D">
        <w:t xml:space="preserve"> 26%) or obese (19% </w:t>
      </w:r>
      <w:r w:rsidR="00C64E9D" w:rsidRPr="002F1565">
        <w:rPr>
          <w:i/>
        </w:rPr>
        <w:t>vs.</w:t>
      </w:r>
      <w:r w:rsidR="00C64E9D" w:rsidRPr="00C64E9D">
        <w:t xml:space="preserve"> 33%), and higher percentages of being at a healthy weight (52% </w:t>
      </w:r>
      <w:r w:rsidR="00C64E9D" w:rsidRPr="002F1565">
        <w:rPr>
          <w:i/>
        </w:rPr>
        <w:t>vs.</w:t>
      </w:r>
      <w:r w:rsidR="00C64E9D" w:rsidRPr="00C64E9D">
        <w:t xml:space="preserve"> 38%), </w:t>
      </w:r>
      <w:proofErr w:type="spellStart"/>
      <w:proofErr w:type="gramStart"/>
      <w:r w:rsidR="00C64E9D" w:rsidRPr="00C64E9D">
        <w:rPr>
          <w:i/>
          <w:iCs/>
        </w:rPr>
        <w:t>Χ</w:t>
      </w:r>
      <w:r w:rsidR="00C64E9D" w:rsidRPr="00C64E9D">
        <w:rPr>
          <w:vertAlign w:val="superscript"/>
        </w:rPr>
        <w:t>2</w:t>
      </w:r>
      <w:proofErr w:type="spellEnd"/>
      <w:r w:rsidR="00C64E9D" w:rsidRPr="00C64E9D">
        <w:t>(</w:t>
      </w:r>
      <w:proofErr w:type="gramEnd"/>
      <w:r w:rsidR="00C64E9D" w:rsidRPr="00C64E9D">
        <w:t xml:space="preserve">3)=34.39, </w:t>
      </w:r>
      <w:r w:rsidR="00C64E9D" w:rsidRPr="002F1565">
        <w:rPr>
          <w:i/>
        </w:rPr>
        <w:t>p</w:t>
      </w:r>
      <w:r w:rsidR="00C64E9D" w:rsidRPr="00C64E9D">
        <w:t>&lt;0.001. Car ownership accounted for 17% of the variance in BMI (</w:t>
      </w:r>
      <w:proofErr w:type="spellStart"/>
      <w:r w:rsidR="00896BF1">
        <w:rPr>
          <w:i/>
        </w:rPr>
        <w:t>r</w:t>
      </w:r>
      <w:r w:rsidR="00C64E9D" w:rsidRPr="002F1565">
        <w:rPr>
          <w:i/>
          <w:vertAlign w:val="superscript"/>
        </w:rPr>
        <w:t>2</w:t>
      </w:r>
      <w:proofErr w:type="spellEnd"/>
      <w:r w:rsidR="00C64E9D" w:rsidRPr="00C64E9D">
        <w:t xml:space="preserve">=0.167). </w:t>
      </w:r>
    </w:p>
    <w:p w14:paraId="1B04E310" w14:textId="33CAB7CD" w:rsidR="00243DA7" w:rsidRDefault="00575AD0" w:rsidP="00C64E9D">
      <w:pPr>
        <w:spacing w:line="480" w:lineRule="auto"/>
        <w:ind w:firstLine="720"/>
      </w:pPr>
      <w:proofErr w:type="gramStart"/>
      <w:r>
        <w:lastRenderedPageBreak/>
        <w:t xml:space="preserve">As displayed in </w:t>
      </w:r>
      <w:r w:rsidRPr="00896BF1">
        <w:rPr>
          <w:i/>
        </w:rPr>
        <w:t>Table 1</w:t>
      </w:r>
      <w:r w:rsidR="00896BF1">
        <w:rPr>
          <w:i/>
        </w:rPr>
        <w:t>.</w:t>
      </w:r>
      <w:proofErr w:type="gramEnd"/>
      <w:r w:rsidRPr="00896BF1">
        <w:rPr>
          <w:i/>
        </w:rPr>
        <w:t xml:space="preserve"> PWS Score and Subscales by Car Ownership</w:t>
      </w:r>
      <w:r>
        <w:t>, w</w:t>
      </w:r>
      <w:r w:rsidR="00C64E9D" w:rsidRPr="00C64E9D">
        <w:t xml:space="preserve">omen who </w:t>
      </w:r>
      <w:r w:rsidR="00E90EF6">
        <w:t>owned a car</w:t>
      </w:r>
      <w:r w:rsidR="00C64E9D" w:rsidRPr="00C64E9D">
        <w:t xml:space="preserve"> had significantly higher levels of perceived wellness (</w:t>
      </w:r>
      <w:r w:rsidR="00C64E9D" w:rsidRPr="002F1565">
        <w:rPr>
          <w:i/>
        </w:rPr>
        <w:t>M</w:t>
      </w:r>
      <w:r>
        <w:t>=13.18</w:t>
      </w:r>
      <w:r w:rsidR="00C64E9D" w:rsidRPr="00C64E9D">
        <w:t xml:space="preserve">, </w:t>
      </w:r>
      <w:r w:rsidR="00C64E9D" w:rsidRPr="002F1565">
        <w:rPr>
          <w:i/>
        </w:rPr>
        <w:t>SD</w:t>
      </w:r>
      <w:r>
        <w:t>=3.14</w:t>
      </w:r>
      <w:r w:rsidR="00C64E9D" w:rsidRPr="00C64E9D">
        <w:t>) than those who did not (</w:t>
      </w:r>
      <w:r w:rsidR="00C64E9D" w:rsidRPr="002F1565">
        <w:rPr>
          <w:i/>
        </w:rPr>
        <w:t>M</w:t>
      </w:r>
      <w:r>
        <w:t>=11.42</w:t>
      </w:r>
      <w:r w:rsidR="00C64E9D" w:rsidRPr="00C64E9D">
        <w:t xml:space="preserve">, </w:t>
      </w:r>
      <w:r w:rsidR="00C64E9D" w:rsidRPr="002F1565">
        <w:rPr>
          <w:i/>
        </w:rPr>
        <w:t>SD</w:t>
      </w:r>
      <w:r w:rsidR="00C64E9D" w:rsidRPr="00C64E9D">
        <w:t xml:space="preserve">=3.27, </w:t>
      </w:r>
      <w:proofErr w:type="gramStart"/>
      <w:r w:rsidR="00C64E9D" w:rsidRPr="00C64E9D">
        <w:rPr>
          <w:i/>
          <w:iCs/>
        </w:rPr>
        <w:t>t</w:t>
      </w:r>
      <w:r w:rsidR="00243DA7">
        <w:t>(</w:t>
      </w:r>
      <w:proofErr w:type="gramEnd"/>
      <w:r w:rsidR="00243DA7">
        <w:t>974)=-6.12</w:t>
      </w:r>
      <w:r w:rsidR="00C64E9D" w:rsidRPr="00C64E9D">
        <w:t xml:space="preserve">, </w:t>
      </w:r>
      <w:r w:rsidR="00C64E9D" w:rsidRPr="00C64E9D">
        <w:rPr>
          <w:i/>
          <w:iCs/>
        </w:rPr>
        <w:t>p</w:t>
      </w:r>
      <w:r w:rsidR="00C64E9D" w:rsidRPr="00C64E9D">
        <w:t xml:space="preserve">&lt;0.001). </w:t>
      </w:r>
      <w:r w:rsidR="00243DA7">
        <w:t xml:space="preserve">The PWS subscales revealed corresponding directions as well. Compared to women who do not </w:t>
      </w:r>
      <w:r w:rsidR="00B437D5">
        <w:t>own</w:t>
      </w:r>
      <w:r w:rsidR="00243DA7">
        <w:t xml:space="preserve"> a car, those who drive a personal vehicle have statistically significant higher levels of psychological wellness (3.97 </w:t>
      </w:r>
      <w:r w:rsidR="00243DA7" w:rsidRPr="00243DA7">
        <w:rPr>
          <w:i/>
        </w:rPr>
        <w:t>vs.</w:t>
      </w:r>
      <w:r w:rsidR="00243DA7">
        <w:t xml:space="preserve"> 3.47, </w:t>
      </w:r>
      <w:proofErr w:type="gramStart"/>
      <w:r w:rsidR="00243DA7" w:rsidRPr="00C64E9D">
        <w:rPr>
          <w:i/>
          <w:iCs/>
        </w:rPr>
        <w:t>t</w:t>
      </w:r>
      <w:r w:rsidR="00243DA7">
        <w:t>(</w:t>
      </w:r>
      <w:proofErr w:type="gramEnd"/>
      <w:r w:rsidR="00243DA7">
        <w:t>1007)=-6.59</w:t>
      </w:r>
      <w:r w:rsidR="00243DA7" w:rsidRPr="00C64E9D">
        <w:t xml:space="preserve">, </w:t>
      </w:r>
      <w:r w:rsidR="00243DA7" w:rsidRPr="00C64E9D">
        <w:rPr>
          <w:i/>
          <w:iCs/>
        </w:rPr>
        <w:t>p</w:t>
      </w:r>
      <w:r w:rsidR="00243DA7" w:rsidRPr="00C64E9D">
        <w:t>&lt;0.001</w:t>
      </w:r>
      <w:r w:rsidR="00243DA7">
        <w:t xml:space="preserve">), social wellness (4.08 </w:t>
      </w:r>
      <w:r w:rsidR="00243DA7" w:rsidRPr="00243DA7">
        <w:rPr>
          <w:i/>
        </w:rPr>
        <w:t>vs.</w:t>
      </w:r>
      <w:r w:rsidR="00243DA7">
        <w:t xml:space="preserve"> 3.73, </w:t>
      </w:r>
      <w:r w:rsidR="00243DA7" w:rsidRPr="00C64E9D">
        <w:rPr>
          <w:i/>
          <w:iCs/>
        </w:rPr>
        <w:t>t</w:t>
      </w:r>
      <w:r w:rsidR="00243DA7">
        <w:t>(1007)=-4.58</w:t>
      </w:r>
      <w:r w:rsidR="00243DA7" w:rsidRPr="00C64E9D">
        <w:t xml:space="preserve">, </w:t>
      </w:r>
      <w:r w:rsidR="00243DA7" w:rsidRPr="00C64E9D">
        <w:rPr>
          <w:i/>
          <w:iCs/>
        </w:rPr>
        <w:t>p</w:t>
      </w:r>
      <w:r w:rsidR="00243DA7" w:rsidRPr="00C64E9D">
        <w:t>&lt;0.001</w:t>
      </w:r>
      <w:r w:rsidR="00243DA7">
        <w:t xml:space="preserve">), physical wellness (3.66 </w:t>
      </w:r>
      <w:r w:rsidR="00243DA7" w:rsidRPr="00243DA7">
        <w:rPr>
          <w:i/>
        </w:rPr>
        <w:t>vs.</w:t>
      </w:r>
      <w:r w:rsidR="00243DA7">
        <w:t xml:space="preserve"> 3.36, </w:t>
      </w:r>
      <w:r w:rsidR="00243DA7" w:rsidRPr="00C64E9D">
        <w:rPr>
          <w:i/>
          <w:iCs/>
        </w:rPr>
        <w:t>t</w:t>
      </w:r>
      <w:r w:rsidR="00243DA7">
        <w:t>(1009)=-3.71</w:t>
      </w:r>
      <w:r w:rsidR="00243DA7" w:rsidRPr="00C64E9D">
        <w:t xml:space="preserve">, </w:t>
      </w:r>
      <w:r w:rsidR="00243DA7" w:rsidRPr="00C64E9D">
        <w:rPr>
          <w:i/>
          <w:iCs/>
        </w:rPr>
        <w:t>p</w:t>
      </w:r>
      <w:r w:rsidR="00243DA7" w:rsidRPr="00C64E9D">
        <w:t>&lt;0.001</w:t>
      </w:r>
      <w:r w:rsidR="00243DA7">
        <w:t xml:space="preserve">), spiritual wellness (3.93 </w:t>
      </w:r>
      <w:r w:rsidR="00243DA7" w:rsidRPr="00243DA7">
        <w:rPr>
          <w:i/>
        </w:rPr>
        <w:t>vs.</w:t>
      </w:r>
      <w:r w:rsidR="00243DA7">
        <w:t xml:space="preserve"> 3.34, </w:t>
      </w:r>
      <w:r w:rsidR="00243DA7" w:rsidRPr="00C64E9D">
        <w:rPr>
          <w:i/>
          <w:iCs/>
        </w:rPr>
        <w:t>t</w:t>
      </w:r>
      <w:r w:rsidR="00243DA7">
        <w:t>(1001)=-6.47</w:t>
      </w:r>
      <w:r w:rsidR="00243DA7" w:rsidRPr="00C64E9D">
        <w:t xml:space="preserve">, </w:t>
      </w:r>
      <w:r w:rsidR="00243DA7" w:rsidRPr="00C64E9D">
        <w:rPr>
          <w:i/>
          <w:iCs/>
        </w:rPr>
        <w:t>p</w:t>
      </w:r>
      <w:r w:rsidR="00243DA7" w:rsidRPr="00C64E9D">
        <w:t>&lt;0.001</w:t>
      </w:r>
      <w:r w:rsidR="00243DA7">
        <w:t xml:space="preserve">), intellectual wellness (4.39 </w:t>
      </w:r>
      <w:r w:rsidR="00243DA7" w:rsidRPr="00243DA7">
        <w:rPr>
          <w:i/>
        </w:rPr>
        <w:t>vs.</w:t>
      </w:r>
      <w:r w:rsidR="00243DA7">
        <w:t xml:space="preserve"> 4.18, </w:t>
      </w:r>
      <w:r w:rsidR="00243DA7" w:rsidRPr="00C64E9D">
        <w:rPr>
          <w:i/>
          <w:iCs/>
        </w:rPr>
        <w:t>t</w:t>
      </w:r>
      <w:r w:rsidR="00243DA7">
        <w:t>(1007)=-3.38</w:t>
      </w:r>
      <w:r w:rsidR="00243DA7" w:rsidRPr="00C64E9D">
        <w:t xml:space="preserve">, </w:t>
      </w:r>
      <w:r w:rsidR="00243DA7" w:rsidRPr="00C64E9D">
        <w:rPr>
          <w:i/>
          <w:iCs/>
        </w:rPr>
        <w:t>p</w:t>
      </w:r>
      <w:r w:rsidR="00243DA7">
        <w:t>=</w:t>
      </w:r>
      <w:r w:rsidR="00243DA7" w:rsidRPr="00C64E9D">
        <w:t>0.001</w:t>
      </w:r>
      <w:r w:rsidR="00243DA7">
        <w:t xml:space="preserve">), and emotional wellness (3.78 </w:t>
      </w:r>
      <w:r w:rsidR="00243DA7" w:rsidRPr="00243DA7">
        <w:rPr>
          <w:i/>
        </w:rPr>
        <w:t>vs.</w:t>
      </w:r>
      <w:r w:rsidR="00243DA7">
        <w:t xml:space="preserve"> 3.25, </w:t>
      </w:r>
      <w:r w:rsidR="00243DA7" w:rsidRPr="00C64E9D">
        <w:rPr>
          <w:i/>
          <w:iCs/>
        </w:rPr>
        <w:t>t</w:t>
      </w:r>
      <w:r w:rsidR="00243DA7">
        <w:t>(1009)=-6.36</w:t>
      </w:r>
      <w:r w:rsidR="00243DA7" w:rsidRPr="00C64E9D">
        <w:t xml:space="preserve">, </w:t>
      </w:r>
      <w:r w:rsidR="00243DA7" w:rsidRPr="00C64E9D">
        <w:rPr>
          <w:i/>
          <w:iCs/>
        </w:rPr>
        <w:t>p</w:t>
      </w:r>
      <w:r w:rsidR="00243DA7" w:rsidRPr="00C64E9D">
        <w:t>&lt;0.001</w:t>
      </w:r>
      <w:r w:rsidR="00243DA7">
        <w:t>).</w:t>
      </w:r>
    </w:p>
    <w:p w14:paraId="5E4106D6" w14:textId="77777777" w:rsidR="00140800" w:rsidRPr="00140800" w:rsidRDefault="00575AD0" w:rsidP="00140800">
      <w:pPr>
        <w:widowControl w:val="0"/>
        <w:autoSpaceDE w:val="0"/>
        <w:autoSpaceDN w:val="0"/>
        <w:adjustRightInd w:val="0"/>
        <w:rPr>
          <w:lang w:eastAsia="ja-JP"/>
        </w:rPr>
      </w:pPr>
      <w:r>
        <w:rPr>
          <w:lang w:eastAsia="ja-JP"/>
        </w:rPr>
        <w:t>Table 1. PWS S</w:t>
      </w:r>
      <w:r w:rsidR="00873624">
        <w:rPr>
          <w:lang w:eastAsia="ja-JP"/>
        </w:rPr>
        <w:t>core and Subscales by Car Ownership</w:t>
      </w:r>
    </w:p>
    <w:tbl>
      <w:tblPr>
        <w:tblStyle w:val="TableGrid"/>
        <w:tblW w:w="5000" w:type="pct"/>
        <w:tblLook w:val="0000" w:firstRow="0" w:lastRow="0" w:firstColumn="0" w:lastColumn="0" w:noHBand="0" w:noVBand="0"/>
      </w:tblPr>
      <w:tblGrid>
        <w:gridCol w:w="2946"/>
        <w:gridCol w:w="1957"/>
        <w:gridCol w:w="1335"/>
        <w:gridCol w:w="1417"/>
        <w:gridCol w:w="1921"/>
      </w:tblGrid>
      <w:tr w:rsidR="00140800" w:rsidRPr="00873624" w14:paraId="7145B424" w14:textId="77777777" w:rsidTr="00140800">
        <w:tc>
          <w:tcPr>
            <w:tcW w:w="1538" w:type="pct"/>
          </w:tcPr>
          <w:p w14:paraId="7FB023FE" w14:textId="77777777" w:rsidR="00140800" w:rsidRPr="00873624" w:rsidRDefault="00140800" w:rsidP="00140800">
            <w:pPr>
              <w:widowControl w:val="0"/>
              <w:autoSpaceDE w:val="0"/>
              <w:autoSpaceDN w:val="0"/>
              <w:adjustRightInd w:val="0"/>
              <w:rPr>
                <w:color w:val="000000" w:themeColor="text1"/>
                <w:lang w:eastAsia="ja-JP"/>
              </w:rPr>
            </w:pPr>
          </w:p>
        </w:tc>
        <w:tc>
          <w:tcPr>
            <w:tcW w:w="1022" w:type="pct"/>
            <w:vAlign w:val="center"/>
          </w:tcPr>
          <w:p w14:paraId="2361C8D4" w14:textId="50EDD6B8" w:rsidR="00140800" w:rsidRPr="00873624" w:rsidRDefault="00A0762F" w:rsidP="00140800">
            <w:pPr>
              <w:widowControl w:val="0"/>
              <w:autoSpaceDE w:val="0"/>
              <w:autoSpaceDN w:val="0"/>
              <w:adjustRightInd w:val="0"/>
              <w:spacing w:line="320" w:lineRule="atLeast"/>
              <w:ind w:left="60" w:right="60"/>
              <w:jc w:val="right"/>
              <w:rPr>
                <w:color w:val="000000" w:themeColor="text1"/>
                <w:lang w:eastAsia="ja-JP"/>
              </w:rPr>
            </w:pPr>
            <w:r>
              <w:rPr>
                <w:color w:val="000000" w:themeColor="text1"/>
                <w:lang w:eastAsia="ja-JP"/>
              </w:rPr>
              <w:t>Car Ownership</w:t>
            </w:r>
          </w:p>
        </w:tc>
        <w:tc>
          <w:tcPr>
            <w:tcW w:w="697" w:type="pct"/>
            <w:vAlign w:val="center"/>
          </w:tcPr>
          <w:p w14:paraId="796222BC"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N</w:t>
            </w:r>
          </w:p>
        </w:tc>
        <w:tc>
          <w:tcPr>
            <w:tcW w:w="740" w:type="pct"/>
            <w:vAlign w:val="center"/>
          </w:tcPr>
          <w:p w14:paraId="44DB8F91"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Mean</w:t>
            </w:r>
          </w:p>
        </w:tc>
        <w:tc>
          <w:tcPr>
            <w:tcW w:w="1003" w:type="pct"/>
            <w:vAlign w:val="center"/>
          </w:tcPr>
          <w:p w14:paraId="361F7E86"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SD</w:t>
            </w:r>
          </w:p>
        </w:tc>
      </w:tr>
      <w:tr w:rsidR="00140800" w:rsidRPr="00873624" w14:paraId="42A2AFB4" w14:textId="77777777" w:rsidTr="00140800">
        <w:tc>
          <w:tcPr>
            <w:tcW w:w="1538" w:type="pct"/>
            <w:vMerge w:val="restart"/>
            <w:vAlign w:val="center"/>
          </w:tcPr>
          <w:p w14:paraId="1A1CC4A3" w14:textId="77777777" w:rsidR="00140800" w:rsidRPr="00873624" w:rsidRDefault="00140800" w:rsidP="00140800">
            <w:pPr>
              <w:widowControl w:val="0"/>
              <w:autoSpaceDE w:val="0"/>
              <w:autoSpaceDN w:val="0"/>
              <w:adjustRightInd w:val="0"/>
              <w:spacing w:line="320" w:lineRule="atLeast"/>
              <w:ind w:left="60" w:right="60"/>
              <w:rPr>
                <w:color w:val="000000" w:themeColor="text1"/>
                <w:lang w:eastAsia="ja-JP"/>
              </w:rPr>
            </w:pPr>
            <w:r w:rsidRPr="00873624">
              <w:rPr>
                <w:color w:val="000000" w:themeColor="text1"/>
                <w:lang w:eastAsia="ja-JP"/>
              </w:rPr>
              <w:t>Perceived Wellness Score</w:t>
            </w:r>
          </w:p>
        </w:tc>
        <w:tc>
          <w:tcPr>
            <w:tcW w:w="1022" w:type="pct"/>
            <w:vAlign w:val="center"/>
          </w:tcPr>
          <w:p w14:paraId="5CB068EB"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No</w:t>
            </w:r>
          </w:p>
        </w:tc>
        <w:tc>
          <w:tcPr>
            <w:tcW w:w="697" w:type="pct"/>
            <w:vAlign w:val="center"/>
          </w:tcPr>
          <w:p w14:paraId="76B5F90D"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141</w:t>
            </w:r>
          </w:p>
        </w:tc>
        <w:tc>
          <w:tcPr>
            <w:tcW w:w="740" w:type="pct"/>
            <w:vAlign w:val="center"/>
          </w:tcPr>
          <w:p w14:paraId="3E206753"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11.42</w:t>
            </w:r>
          </w:p>
        </w:tc>
        <w:tc>
          <w:tcPr>
            <w:tcW w:w="1003" w:type="pct"/>
            <w:vAlign w:val="center"/>
          </w:tcPr>
          <w:p w14:paraId="7C28C1E0"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3.27</w:t>
            </w:r>
          </w:p>
        </w:tc>
      </w:tr>
      <w:tr w:rsidR="00140800" w:rsidRPr="00873624" w14:paraId="4C0EBD3C" w14:textId="77777777" w:rsidTr="00140800">
        <w:tc>
          <w:tcPr>
            <w:tcW w:w="1538" w:type="pct"/>
            <w:vMerge/>
          </w:tcPr>
          <w:p w14:paraId="763B53A5" w14:textId="77777777" w:rsidR="00140800" w:rsidRPr="00873624" w:rsidRDefault="00140800" w:rsidP="00140800">
            <w:pPr>
              <w:widowControl w:val="0"/>
              <w:autoSpaceDE w:val="0"/>
              <w:autoSpaceDN w:val="0"/>
              <w:adjustRightInd w:val="0"/>
              <w:rPr>
                <w:color w:val="000000" w:themeColor="text1"/>
                <w:lang w:eastAsia="ja-JP"/>
              </w:rPr>
            </w:pPr>
          </w:p>
        </w:tc>
        <w:tc>
          <w:tcPr>
            <w:tcW w:w="1022" w:type="pct"/>
            <w:vAlign w:val="center"/>
          </w:tcPr>
          <w:p w14:paraId="5D04D72D"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Yes</w:t>
            </w:r>
          </w:p>
        </w:tc>
        <w:tc>
          <w:tcPr>
            <w:tcW w:w="697" w:type="pct"/>
            <w:vAlign w:val="center"/>
          </w:tcPr>
          <w:p w14:paraId="1DBFCB77"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835</w:t>
            </w:r>
          </w:p>
        </w:tc>
        <w:tc>
          <w:tcPr>
            <w:tcW w:w="740" w:type="pct"/>
            <w:vAlign w:val="center"/>
          </w:tcPr>
          <w:p w14:paraId="61ED6035"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13.18</w:t>
            </w:r>
          </w:p>
        </w:tc>
        <w:tc>
          <w:tcPr>
            <w:tcW w:w="1003" w:type="pct"/>
            <w:vAlign w:val="center"/>
          </w:tcPr>
          <w:p w14:paraId="6A90B222"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3.14</w:t>
            </w:r>
          </w:p>
        </w:tc>
      </w:tr>
      <w:tr w:rsidR="00140800" w:rsidRPr="00873624" w14:paraId="36FA7D4B" w14:textId="77777777" w:rsidTr="00140800">
        <w:tc>
          <w:tcPr>
            <w:tcW w:w="1538" w:type="pct"/>
            <w:vMerge w:val="restart"/>
            <w:vAlign w:val="center"/>
          </w:tcPr>
          <w:p w14:paraId="6C7E7C70"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Psychological</w:t>
            </w:r>
          </w:p>
        </w:tc>
        <w:tc>
          <w:tcPr>
            <w:tcW w:w="1022" w:type="pct"/>
            <w:vAlign w:val="center"/>
          </w:tcPr>
          <w:p w14:paraId="4B78C621"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No</w:t>
            </w:r>
          </w:p>
        </w:tc>
        <w:tc>
          <w:tcPr>
            <w:tcW w:w="697" w:type="pct"/>
            <w:vAlign w:val="center"/>
          </w:tcPr>
          <w:p w14:paraId="7355BA20"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147</w:t>
            </w:r>
          </w:p>
        </w:tc>
        <w:tc>
          <w:tcPr>
            <w:tcW w:w="740" w:type="pct"/>
            <w:vAlign w:val="center"/>
          </w:tcPr>
          <w:p w14:paraId="3AD24B2C"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3.47</w:t>
            </w:r>
          </w:p>
        </w:tc>
        <w:tc>
          <w:tcPr>
            <w:tcW w:w="1003" w:type="pct"/>
            <w:vAlign w:val="center"/>
          </w:tcPr>
          <w:p w14:paraId="309AA00A"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0.91</w:t>
            </w:r>
          </w:p>
        </w:tc>
      </w:tr>
      <w:tr w:rsidR="00140800" w:rsidRPr="00873624" w14:paraId="19FA7CF1" w14:textId="77777777" w:rsidTr="00140800">
        <w:tc>
          <w:tcPr>
            <w:tcW w:w="1538" w:type="pct"/>
            <w:vMerge/>
            <w:vAlign w:val="center"/>
          </w:tcPr>
          <w:p w14:paraId="42A58209" w14:textId="77777777" w:rsidR="00140800" w:rsidRPr="00873624" w:rsidRDefault="00140800" w:rsidP="00140800">
            <w:pPr>
              <w:widowControl w:val="0"/>
              <w:autoSpaceDE w:val="0"/>
              <w:autoSpaceDN w:val="0"/>
              <w:adjustRightInd w:val="0"/>
              <w:jc w:val="right"/>
              <w:rPr>
                <w:color w:val="000000" w:themeColor="text1"/>
                <w:lang w:eastAsia="ja-JP"/>
              </w:rPr>
            </w:pPr>
          </w:p>
        </w:tc>
        <w:tc>
          <w:tcPr>
            <w:tcW w:w="1022" w:type="pct"/>
            <w:vAlign w:val="center"/>
          </w:tcPr>
          <w:p w14:paraId="627A5A4D"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Yes</w:t>
            </w:r>
          </w:p>
        </w:tc>
        <w:tc>
          <w:tcPr>
            <w:tcW w:w="697" w:type="pct"/>
            <w:vAlign w:val="center"/>
          </w:tcPr>
          <w:p w14:paraId="0AE71D4F"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862</w:t>
            </w:r>
          </w:p>
        </w:tc>
        <w:tc>
          <w:tcPr>
            <w:tcW w:w="740" w:type="pct"/>
            <w:vAlign w:val="center"/>
          </w:tcPr>
          <w:p w14:paraId="5F5C114D"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3.97</w:t>
            </w:r>
          </w:p>
        </w:tc>
        <w:tc>
          <w:tcPr>
            <w:tcW w:w="1003" w:type="pct"/>
            <w:vAlign w:val="center"/>
          </w:tcPr>
          <w:p w14:paraId="6A109A40"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0.85</w:t>
            </w:r>
          </w:p>
        </w:tc>
      </w:tr>
      <w:tr w:rsidR="00140800" w:rsidRPr="00873624" w14:paraId="53B35AC7" w14:textId="77777777" w:rsidTr="00140800">
        <w:tc>
          <w:tcPr>
            <w:tcW w:w="1538" w:type="pct"/>
            <w:vMerge w:val="restart"/>
            <w:vAlign w:val="center"/>
          </w:tcPr>
          <w:p w14:paraId="3997EE69"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Social</w:t>
            </w:r>
          </w:p>
        </w:tc>
        <w:tc>
          <w:tcPr>
            <w:tcW w:w="1022" w:type="pct"/>
            <w:vAlign w:val="center"/>
          </w:tcPr>
          <w:p w14:paraId="14A20937"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No</w:t>
            </w:r>
          </w:p>
        </w:tc>
        <w:tc>
          <w:tcPr>
            <w:tcW w:w="697" w:type="pct"/>
            <w:vAlign w:val="center"/>
          </w:tcPr>
          <w:p w14:paraId="27483901"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146</w:t>
            </w:r>
          </w:p>
        </w:tc>
        <w:tc>
          <w:tcPr>
            <w:tcW w:w="740" w:type="pct"/>
            <w:vAlign w:val="center"/>
          </w:tcPr>
          <w:p w14:paraId="18BFB3C8"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3.73</w:t>
            </w:r>
          </w:p>
        </w:tc>
        <w:tc>
          <w:tcPr>
            <w:tcW w:w="1003" w:type="pct"/>
            <w:vAlign w:val="center"/>
          </w:tcPr>
          <w:p w14:paraId="0D60C006"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0.95</w:t>
            </w:r>
          </w:p>
        </w:tc>
      </w:tr>
      <w:tr w:rsidR="00140800" w:rsidRPr="00873624" w14:paraId="3BAE8BF8" w14:textId="77777777" w:rsidTr="00140800">
        <w:tc>
          <w:tcPr>
            <w:tcW w:w="1538" w:type="pct"/>
            <w:vMerge/>
            <w:vAlign w:val="center"/>
          </w:tcPr>
          <w:p w14:paraId="22AE71C4" w14:textId="77777777" w:rsidR="00140800" w:rsidRPr="00873624" w:rsidRDefault="00140800" w:rsidP="00140800">
            <w:pPr>
              <w:widowControl w:val="0"/>
              <w:autoSpaceDE w:val="0"/>
              <w:autoSpaceDN w:val="0"/>
              <w:adjustRightInd w:val="0"/>
              <w:jc w:val="right"/>
              <w:rPr>
                <w:color w:val="000000" w:themeColor="text1"/>
                <w:lang w:eastAsia="ja-JP"/>
              </w:rPr>
            </w:pPr>
          </w:p>
        </w:tc>
        <w:tc>
          <w:tcPr>
            <w:tcW w:w="1022" w:type="pct"/>
            <w:vAlign w:val="center"/>
          </w:tcPr>
          <w:p w14:paraId="194F2E25"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Yes</w:t>
            </w:r>
          </w:p>
        </w:tc>
        <w:tc>
          <w:tcPr>
            <w:tcW w:w="697" w:type="pct"/>
            <w:vAlign w:val="center"/>
          </w:tcPr>
          <w:p w14:paraId="0DA9EEED"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863</w:t>
            </w:r>
          </w:p>
        </w:tc>
        <w:tc>
          <w:tcPr>
            <w:tcW w:w="740" w:type="pct"/>
            <w:vAlign w:val="center"/>
          </w:tcPr>
          <w:p w14:paraId="4B3FB763"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4.08</w:t>
            </w:r>
          </w:p>
        </w:tc>
        <w:tc>
          <w:tcPr>
            <w:tcW w:w="1003" w:type="pct"/>
            <w:vAlign w:val="center"/>
          </w:tcPr>
          <w:p w14:paraId="666B4121"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0.83</w:t>
            </w:r>
          </w:p>
        </w:tc>
      </w:tr>
      <w:tr w:rsidR="00140800" w:rsidRPr="00873624" w14:paraId="182F8D64" w14:textId="77777777" w:rsidTr="00140800">
        <w:tc>
          <w:tcPr>
            <w:tcW w:w="1538" w:type="pct"/>
            <w:vMerge w:val="restart"/>
            <w:vAlign w:val="center"/>
          </w:tcPr>
          <w:p w14:paraId="323C8209"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Physical</w:t>
            </w:r>
          </w:p>
        </w:tc>
        <w:tc>
          <w:tcPr>
            <w:tcW w:w="1022" w:type="pct"/>
            <w:vAlign w:val="center"/>
          </w:tcPr>
          <w:p w14:paraId="56555E0C"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No</w:t>
            </w:r>
          </w:p>
        </w:tc>
        <w:tc>
          <w:tcPr>
            <w:tcW w:w="697" w:type="pct"/>
            <w:vAlign w:val="center"/>
          </w:tcPr>
          <w:p w14:paraId="2405D6D7"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148</w:t>
            </w:r>
          </w:p>
        </w:tc>
        <w:tc>
          <w:tcPr>
            <w:tcW w:w="740" w:type="pct"/>
            <w:vAlign w:val="center"/>
          </w:tcPr>
          <w:p w14:paraId="0F0FBFD7"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3.36</w:t>
            </w:r>
          </w:p>
        </w:tc>
        <w:tc>
          <w:tcPr>
            <w:tcW w:w="1003" w:type="pct"/>
            <w:vAlign w:val="center"/>
          </w:tcPr>
          <w:p w14:paraId="6A3F4464"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0.94</w:t>
            </w:r>
          </w:p>
        </w:tc>
      </w:tr>
      <w:tr w:rsidR="00140800" w:rsidRPr="00873624" w14:paraId="618DBD29" w14:textId="77777777" w:rsidTr="00140800">
        <w:tc>
          <w:tcPr>
            <w:tcW w:w="1538" w:type="pct"/>
            <w:vMerge/>
            <w:vAlign w:val="center"/>
          </w:tcPr>
          <w:p w14:paraId="734FFFBB" w14:textId="77777777" w:rsidR="00140800" w:rsidRPr="00873624" w:rsidRDefault="00140800" w:rsidP="00140800">
            <w:pPr>
              <w:widowControl w:val="0"/>
              <w:autoSpaceDE w:val="0"/>
              <w:autoSpaceDN w:val="0"/>
              <w:adjustRightInd w:val="0"/>
              <w:jc w:val="right"/>
              <w:rPr>
                <w:color w:val="000000" w:themeColor="text1"/>
                <w:lang w:eastAsia="ja-JP"/>
              </w:rPr>
            </w:pPr>
          </w:p>
        </w:tc>
        <w:tc>
          <w:tcPr>
            <w:tcW w:w="1022" w:type="pct"/>
            <w:vAlign w:val="center"/>
          </w:tcPr>
          <w:p w14:paraId="5F1290EF"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Yes</w:t>
            </w:r>
          </w:p>
        </w:tc>
        <w:tc>
          <w:tcPr>
            <w:tcW w:w="697" w:type="pct"/>
            <w:vAlign w:val="center"/>
          </w:tcPr>
          <w:p w14:paraId="664EFF28"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863</w:t>
            </w:r>
          </w:p>
        </w:tc>
        <w:tc>
          <w:tcPr>
            <w:tcW w:w="740" w:type="pct"/>
            <w:vAlign w:val="center"/>
          </w:tcPr>
          <w:p w14:paraId="7F9F95AB"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3.66</w:t>
            </w:r>
          </w:p>
        </w:tc>
        <w:tc>
          <w:tcPr>
            <w:tcW w:w="1003" w:type="pct"/>
            <w:vAlign w:val="center"/>
          </w:tcPr>
          <w:p w14:paraId="283DAFCB"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0.91</w:t>
            </w:r>
          </w:p>
        </w:tc>
      </w:tr>
      <w:tr w:rsidR="00140800" w:rsidRPr="00873624" w14:paraId="08EA565E" w14:textId="77777777" w:rsidTr="00140800">
        <w:tc>
          <w:tcPr>
            <w:tcW w:w="1538" w:type="pct"/>
            <w:vMerge w:val="restart"/>
            <w:vAlign w:val="center"/>
          </w:tcPr>
          <w:p w14:paraId="159EB380"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Spiritual</w:t>
            </w:r>
          </w:p>
        </w:tc>
        <w:tc>
          <w:tcPr>
            <w:tcW w:w="1022" w:type="pct"/>
            <w:vAlign w:val="center"/>
          </w:tcPr>
          <w:p w14:paraId="0458F4AB"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No</w:t>
            </w:r>
          </w:p>
        </w:tc>
        <w:tc>
          <w:tcPr>
            <w:tcW w:w="697" w:type="pct"/>
            <w:vAlign w:val="center"/>
          </w:tcPr>
          <w:p w14:paraId="63AEFC51"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148</w:t>
            </w:r>
          </w:p>
        </w:tc>
        <w:tc>
          <w:tcPr>
            <w:tcW w:w="740" w:type="pct"/>
            <w:vAlign w:val="center"/>
          </w:tcPr>
          <w:p w14:paraId="4B12921B"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3.34</w:t>
            </w:r>
          </w:p>
        </w:tc>
        <w:tc>
          <w:tcPr>
            <w:tcW w:w="1003" w:type="pct"/>
            <w:vAlign w:val="center"/>
          </w:tcPr>
          <w:p w14:paraId="227BF81E"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1.11</w:t>
            </w:r>
          </w:p>
        </w:tc>
      </w:tr>
      <w:tr w:rsidR="00140800" w:rsidRPr="00873624" w14:paraId="77FA6455" w14:textId="77777777" w:rsidTr="00140800">
        <w:tc>
          <w:tcPr>
            <w:tcW w:w="1538" w:type="pct"/>
            <w:vMerge/>
            <w:vAlign w:val="center"/>
          </w:tcPr>
          <w:p w14:paraId="210001DB" w14:textId="77777777" w:rsidR="00140800" w:rsidRPr="00873624" w:rsidRDefault="00140800" w:rsidP="00140800">
            <w:pPr>
              <w:widowControl w:val="0"/>
              <w:autoSpaceDE w:val="0"/>
              <w:autoSpaceDN w:val="0"/>
              <w:adjustRightInd w:val="0"/>
              <w:jc w:val="right"/>
              <w:rPr>
                <w:color w:val="000000" w:themeColor="text1"/>
                <w:lang w:eastAsia="ja-JP"/>
              </w:rPr>
            </w:pPr>
          </w:p>
        </w:tc>
        <w:tc>
          <w:tcPr>
            <w:tcW w:w="1022" w:type="pct"/>
            <w:vAlign w:val="center"/>
          </w:tcPr>
          <w:p w14:paraId="185400C2"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Yes</w:t>
            </w:r>
          </w:p>
        </w:tc>
        <w:tc>
          <w:tcPr>
            <w:tcW w:w="697" w:type="pct"/>
            <w:vAlign w:val="center"/>
          </w:tcPr>
          <w:p w14:paraId="69ADCFEA"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855</w:t>
            </w:r>
          </w:p>
        </w:tc>
        <w:tc>
          <w:tcPr>
            <w:tcW w:w="740" w:type="pct"/>
            <w:vAlign w:val="center"/>
          </w:tcPr>
          <w:p w14:paraId="4C0E421D"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3.93</w:t>
            </w:r>
          </w:p>
        </w:tc>
        <w:tc>
          <w:tcPr>
            <w:tcW w:w="1003" w:type="pct"/>
            <w:vAlign w:val="center"/>
          </w:tcPr>
          <w:p w14:paraId="5A0B20E9"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1.01</w:t>
            </w:r>
          </w:p>
        </w:tc>
      </w:tr>
      <w:tr w:rsidR="00140800" w:rsidRPr="00873624" w14:paraId="3FBAEBD4" w14:textId="77777777" w:rsidTr="00140800">
        <w:tc>
          <w:tcPr>
            <w:tcW w:w="1538" w:type="pct"/>
            <w:vMerge w:val="restart"/>
            <w:vAlign w:val="center"/>
          </w:tcPr>
          <w:p w14:paraId="5BE7FAFA"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Intellectual</w:t>
            </w:r>
          </w:p>
        </w:tc>
        <w:tc>
          <w:tcPr>
            <w:tcW w:w="1022" w:type="pct"/>
            <w:vAlign w:val="center"/>
          </w:tcPr>
          <w:p w14:paraId="6D942A73"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No</w:t>
            </w:r>
          </w:p>
        </w:tc>
        <w:tc>
          <w:tcPr>
            <w:tcW w:w="697" w:type="pct"/>
            <w:vAlign w:val="center"/>
          </w:tcPr>
          <w:p w14:paraId="682D719D"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149</w:t>
            </w:r>
          </w:p>
        </w:tc>
        <w:tc>
          <w:tcPr>
            <w:tcW w:w="740" w:type="pct"/>
            <w:vAlign w:val="center"/>
          </w:tcPr>
          <w:p w14:paraId="326C8D58"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4.18</w:t>
            </w:r>
          </w:p>
        </w:tc>
        <w:tc>
          <w:tcPr>
            <w:tcW w:w="1003" w:type="pct"/>
            <w:vAlign w:val="center"/>
          </w:tcPr>
          <w:p w14:paraId="097745BC"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0.78</w:t>
            </w:r>
          </w:p>
        </w:tc>
      </w:tr>
      <w:tr w:rsidR="00140800" w:rsidRPr="00873624" w14:paraId="4295AB8D" w14:textId="77777777" w:rsidTr="00140800">
        <w:tc>
          <w:tcPr>
            <w:tcW w:w="1538" w:type="pct"/>
            <w:vMerge/>
            <w:vAlign w:val="center"/>
          </w:tcPr>
          <w:p w14:paraId="00F5F624" w14:textId="77777777" w:rsidR="00140800" w:rsidRPr="00873624" w:rsidRDefault="00140800" w:rsidP="00140800">
            <w:pPr>
              <w:widowControl w:val="0"/>
              <w:autoSpaceDE w:val="0"/>
              <w:autoSpaceDN w:val="0"/>
              <w:adjustRightInd w:val="0"/>
              <w:jc w:val="right"/>
              <w:rPr>
                <w:color w:val="000000" w:themeColor="text1"/>
                <w:lang w:eastAsia="ja-JP"/>
              </w:rPr>
            </w:pPr>
          </w:p>
        </w:tc>
        <w:tc>
          <w:tcPr>
            <w:tcW w:w="1022" w:type="pct"/>
            <w:vAlign w:val="center"/>
          </w:tcPr>
          <w:p w14:paraId="76F0798C"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Yes</w:t>
            </w:r>
          </w:p>
        </w:tc>
        <w:tc>
          <w:tcPr>
            <w:tcW w:w="697" w:type="pct"/>
            <w:vAlign w:val="center"/>
          </w:tcPr>
          <w:p w14:paraId="0273F217"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860</w:t>
            </w:r>
          </w:p>
        </w:tc>
        <w:tc>
          <w:tcPr>
            <w:tcW w:w="740" w:type="pct"/>
            <w:vAlign w:val="center"/>
          </w:tcPr>
          <w:p w14:paraId="351B0F88"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4.39</w:t>
            </w:r>
          </w:p>
        </w:tc>
        <w:tc>
          <w:tcPr>
            <w:tcW w:w="1003" w:type="pct"/>
            <w:vAlign w:val="center"/>
          </w:tcPr>
          <w:p w14:paraId="6A2FB091"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0.68</w:t>
            </w:r>
          </w:p>
        </w:tc>
      </w:tr>
      <w:tr w:rsidR="00140800" w:rsidRPr="00873624" w14:paraId="6C58460A" w14:textId="77777777" w:rsidTr="00140800">
        <w:tc>
          <w:tcPr>
            <w:tcW w:w="1538" w:type="pct"/>
            <w:vMerge w:val="restart"/>
            <w:vAlign w:val="center"/>
          </w:tcPr>
          <w:p w14:paraId="02E32A40"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Emotional</w:t>
            </w:r>
          </w:p>
        </w:tc>
        <w:tc>
          <w:tcPr>
            <w:tcW w:w="1022" w:type="pct"/>
            <w:vAlign w:val="center"/>
          </w:tcPr>
          <w:p w14:paraId="5FD88D8C"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No</w:t>
            </w:r>
          </w:p>
        </w:tc>
        <w:tc>
          <w:tcPr>
            <w:tcW w:w="697" w:type="pct"/>
            <w:vAlign w:val="center"/>
          </w:tcPr>
          <w:p w14:paraId="11BB2BD3"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148</w:t>
            </w:r>
          </w:p>
        </w:tc>
        <w:tc>
          <w:tcPr>
            <w:tcW w:w="740" w:type="pct"/>
            <w:vAlign w:val="center"/>
          </w:tcPr>
          <w:p w14:paraId="548D00B6"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3.25</w:t>
            </w:r>
          </w:p>
        </w:tc>
        <w:tc>
          <w:tcPr>
            <w:tcW w:w="1003" w:type="pct"/>
            <w:vAlign w:val="center"/>
          </w:tcPr>
          <w:p w14:paraId="406135C3"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1.04</w:t>
            </w:r>
          </w:p>
        </w:tc>
      </w:tr>
      <w:tr w:rsidR="00140800" w:rsidRPr="00873624" w14:paraId="2515F821" w14:textId="77777777" w:rsidTr="00140800">
        <w:tc>
          <w:tcPr>
            <w:tcW w:w="1538" w:type="pct"/>
            <w:vMerge/>
          </w:tcPr>
          <w:p w14:paraId="1183E36C" w14:textId="77777777" w:rsidR="00140800" w:rsidRPr="00873624" w:rsidRDefault="00140800" w:rsidP="00140800">
            <w:pPr>
              <w:widowControl w:val="0"/>
              <w:autoSpaceDE w:val="0"/>
              <w:autoSpaceDN w:val="0"/>
              <w:adjustRightInd w:val="0"/>
              <w:rPr>
                <w:color w:val="000000" w:themeColor="text1"/>
                <w:lang w:eastAsia="ja-JP"/>
              </w:rPr>
            </w:pPr>
          </w:p>
        </w:tc>
        <w:tc>
          <w:tcPr>
            <w:tcW w:w="1022" w:type="pct"/>
            <w:vAlign w:val="center"/>
          </w:tcPr>
          <w:p w14:paraId="0BB86E65"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Yes</w:t>
            </w:r>
          </w:p>
        </w:tc>
        <w:tc>
          <w:tcPr>
            <w:tcW w:w="697" w:type="pct"/>
            <w:vAlign w:val="center"/>
          </w:tcPr>
          <w:p w14:paraId="3D6FC918" w14:textId="77777777" w:rsidR="00140800" w:rsidRPr="00873624" w:rsidRDefault="00140800" w:rsidP="00140800">
            <w:pPr>
              <w:widowControl w:val="0"/>
              <w:autoSpaceDE w:val="0"/>
              <w:autoSpaceDN w:val="0"/>
              <w:adjustRightInd w:val="0"/>
              <w:spacing w:line="320" w:lineRule="atLeast"/>
              <w:ind w:left="60" w:right="60"/>
              <w:jc w:val="right"/>
              <w:rPr>
                <w:color w:val="000000" w:themeColor="text1"/>
                <w:lang w:eastAsia="ja-JP"/>
              </w:rPr>
            </w:pPr>
            <w:r w:rsidRPr="00873624">
              <w:rPr>
                <w:color w:val="000000" w:themeColor="text1"/>
                <w:lang w:eastAsia="ja-JP"/>
              </w:rPr>
              <w:t>863</w:t>
            </w:r>
          </w:p>
        </w:tc>
        <w:tc>
          <w:tcPr>
            <w:tcW w:w="740" w:type="pct"/>
            <w:vAlign w:val="center"/>
          </w:tcPr>
          <w:p w14:paraId="04828499"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3.78</w:t>
            </w:r>
          </w:p>
        </w:tc>
        <w:tc>
          <w:tcPr>
            <w:tcW w:w="1003" w:type="pct"/>
            <w:vAlign w:val="center"/>
          </w:tcPr>
          <w:p w14:paraId="1E25A41F" w14:textId="77777777" w:rsidR="00140800" w:rsidRPr="00873624" w:rsidRDefault="00140800" w:rsidP="00140800">
            <w:pPr>
              <w:jc w:val="right"/>
              <w:rPr>
                <w:rFonts w:eastAsia="Times New Roman"/>
                <w:color w:val="000000" w:themeColor="text1"/>
              </w:rPr>
            </w:pPr>
            <w:r w:rsidRPr="00873624">
              <w:rPr>
                <w:rFonts w:eastAsia="Times New Roman"/>
                <w:color w:val="000000" w:themeColor="text1"/>
              </w:rPr>
              <w:t>0.92</w:t>
            </w:r>
          </w:p>
        </w:tc>
      </w:tr>
    </w:tbl>
    <w:p w14:paraId="044EF324" w14:textId="77777777" w:rsidR="002C76C5" w:rsidRDefault="002C76C5" w:rsidP="00E276B4">
      <w:pPr>
        <w:spacing w:line="480" w:lineRule="auto"/>
      </w:pPr>
    </w:p>
    <w:p w14:paraId="213AD9EA" w14:textId="5885C3E7" w:rsidR="00896BF1" w:rsidRDefault="00896BF1" w:rsidP="00896BF1">
      <w:pPr>
        <w:spacing w:line="480" w:lineRule="auto"/>
        <w:ind w:firstLine="720"/>
      </w:pPr>
      <w:r w:rsidRPr="00B437D5">
        <w:t xml:space="preserve">Women who did not own </w:t>
      </w:r>
      <w:r w:rsidR="00B437D5" w:rsidRPr="00B437D5">
        <w:t xml:space="preserve">a </w:t>
      </w:r>
      <w:r w:rsidRPr="00B437D5">
        <w:t>vehicle reported</w:t>
      </w:r>
      <w:r w:rsidRPr="00C64E9D">
        <w:t xml:space="preserve"> significantly poorer quality of housing (</w:t>
      </w:r>
      <w:proofErr w:type="gramStart"/>
      <w:r w:rsidRPr="00C64E9D">
        <w:rPr>
          <w:i/>
          <w:iCs/>
        </w:rPr>
        <w:t>t</w:t>
      </w:r>
      <w:r w:rsidRPr="00C64E9D">
        <w:t>(</w:t>
      </w:r>
      <w:proofErr w:type="gramEnd"/>
      <w:r w:rsidRPr="00C64E9D">
        <w:t xml:space="preserve">182.51)=4.69, </w:t>
      </w:r>
      <w:r w:rsidRPr="00C64E9D">
        <w:rPr>
          <w:i/>
          <w:iCs/>
        </w:rPr>
        <w:t>p</w:t>
      </w:r>
      <w:r w:rsidRPr="00C64E9D">
        <w:t>&lt;0.001), living in less safe neighborhoods (</w:t>
      </w:r>
      <w:r w:rsidRPr="00C64E9D">
        <w:rPr>
          <w:i/>
          <w:iCs/>
        </w:rPr>
        <w:t>t</w:t>
      </w:r>
      <w:r w:rsidRPr="00C64E9D">
        <w:t xml:space="preserve">(1008)=2.89, </w:t>
      </w:r>
      <w:r w:rsidRPr="00C64E9D">
        <w:rPr>
          <w:i/>
          <w:iCs/>
        </w:rPr>
        <w:t>p</w:t>
      </w:r>
      <w:r w:rsidRPr="00C64E9D">
        <w:t>=0.004), worse neighborhood conditions (</w:t>
      </w:r>
      <w:r w:rsidRPr="00C64E9D">
        <w:rPr>
          <w:i/>
          <w:iCs/>
        </w:rPr>
        <w:t>t</w:t>
      </w:r>
      <w:r w:rsidRPr="00C64E9D">
        <w:t xml:space="preserve">(1006)=3.23, </w:t>
      </w:r>
      <w:r w:rsidRPr="00C64E9D">
        <w:rPr>
          <w:i/>
          <w:iCs/>
        </w:rPr>
        <w:t>p</w:t>
      </w:r>
      <w:r w:rsidRPr="00C64E9D">
        <w:t xml:space="preserve">=0.001), and reported higher levels of neighborhood </w:t>
      </w:r>
      <w:r w:rsidRPr="00C64E9D">
        <w:lastRenderedPageBreak/>
        <w:t>litter (</w:t>
      </w:r>
      <w:r w:rsidRPr="00C64E9D">
        <w:rPr>
          <w:i/>
          <w:iCs/>
        </w:rPr>
        <w:t>t</w:t>
      </w:r>
      <w:r w:rsidRPr="00C64E9D">
        <w:t xml:space="preserve">(1008)=2.76, </w:t>
      </w:r>
      <w:r w:rsidRPr="00C64E9D">
        <w:rPr>
          <w:i/>
          <w:iCs/>
        </w:rPr>
        <w:t>p</w:t>
      </w:r>
      <w:r w:rsidRPr="00C64E9D">
        <w:t xml:space="preserve">=0.006). </w:t>
      </w:r>
      <w:r w:rsidR="00B437D5">
        <w:t>See Table 2 Owning a Personal Car by Risk Scores for more details.</w:t>
      </w:r>
    </w:p>
    <w:p w14:paraId="41203563" w14:textId="77777777" w:rsidR="00B437D5" w:rsidRPr="002E5822" w:rsidRDefault="00B437D5" w:rsidP="00B437D5">
      <w:pPr>
        <w:widowControl w:val="0"/>
        <w:autoSpaceDE w:val="0"/>
        <w:autoSpaceDN w:val="0"/>
        <w:adjustRightInd w:val="0"/>
        <w:rPr>
          <w:lang w:eastAsia="ja-JP"/>
        </w:rPr>
      </w:pPr>
      <w:r>
        <w:rPr>
          <w:lang w:eastAsia="ja-JP"/>
        </w:rPr>
        <w:t>Table 2. Owning a Personal Car by Risk Scores</w:t>
      </w:r>
    </w:p>
    <w:tbl>
      <w:tblPr>
        <w:tblStyle w:val="TableGrid"/>
        <w:tblW w:w="5000" w:type="pct"/>
        <w:tblLook w:val="0000" w:firstRow="0" w:lastRow="0" w:firstColumn="0" w:lastColumn="0" w:noHBand="0" w:noVBand="0"/>
      </w:tblPr>
      <w:tblGrid>
        <w:gridCol w:w="2180"/>
        <w:gridCol w:w="1530"/>
        <w:gridCol w:w="720"/>
        <w:gridCol w:w="1080"/>
        <w:gridCol w:w="1348"/>
        <w:gridCol w:w="2718"/>
      </w:tblGrid>
      <w:tr w:rsidR="00B437D5" w:rsidRPr="002E5822" w14:paraId="1CC8E4A1" w14:textId="77777777" w:rsidTr="00DA715E">
        <w:tc>
          <w:tcPr>
            <w:tcW w:w="1138" w:type="pct"/>
          </w:tcPr>
          <w:p w14:paraId="4613B65C" w14:textId="77777777" w:rsidR="00B437D5" w:rsidRPr="002E5822" w:rsidRDefault="00B437D5" w:rsidP="00DA715E">
            <w:pPr>
              <w:widowControl w:val="0"/>
              <w:autoSpaceDE w:val="0"/>
              <w:autoSpaceDN w:val="0"/>
              <w:adjustRightInd w:val="0"/>
              <w:rPr>
                <w:color w:val="010205"/>
                <w:lang w:eastAsia="ja-JP"/>
              </w:rPr>
            </w:pPr>
          </w:p>
        </w:tc>
        <w:tc>
          <w:tcPr>
            <w:tcW w:w="799" w:type="pct"/>
          </w:tcPr>
          <w:p w14:paraId="7D47BA8D"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Pr>
                <w:color w:val="264A60"/>
                <w:lang w:eastAsia="ja-JP"/>
              </w:rPr>
              <w:t>Personal C</w:t>
            </w:r>
            <w:r w:rsidRPr="002E5822">
              <w:rPr>
                <w:color w:val="264A60"/>
                <w:lang w:eastAsia="ja-JP"/>
              </w:rPr>
              <w:t>ar</w:t>
            </w:r>
          </w:p>
        </w:tc>
        <w:tc>
          <w:tcPr>
            <w:tcW w:w="376" w:type="pct"/>
          </w:tcPr>
          <w:p w14:paraId="43CCB48D" w14:textId="77777777" w:rsidR="00B437D5" w:rsidRPr="002E5822" w:rsidRDefault="00B437D5" w:rsidP="00DA715E">
            <w:pPr>
              <w:widowControl w:val="0"/>
              <w:autoSpaceDE w:val="0"/>
              <w:autoSpaceDN w:val="0"/>
              <w:adjustRightInd w:val="0"/>
              <w:spacing w:line="320" w:lineRule="atLeast"/>
              <w:ind w:left="60" w:right="60"/>
              <w:jc w:val="center"/>
              <w:rPr>
                <w:color w:val="264A60"/>
                <w:lang w:eastAsia="ja-JP"/>
              </w:rPr>
            </w:pPr>
            <w:r w:rsidRPr="002E5822">
              <w:rPr>
                <w:color w:val="264A60"/>
                <w:lang w:eastAsia="ja-JP"/>
              </w:rPr>
              <w:t>N</w:t>
            </w:r>
          </w:p>
        </w:tc>
        <w:tc>
          <w:tcPr>
            <w:tcW w:w="564" w:type="pct"/>
          </w:tcPr>
          <w:p w14:paraId="1F374C7B" w14:textId="77777777" w:rsidR="00B437D5" w:rsidRPr="002E5822" w:rsidRDefault="00B437D5" w:rsidP="00DA715E">
            <w:pPr>
              <w:widowControl w:val="0"/>
              <w:autoSpaceDE w:val="0"/>
              <w:autoSpaceDN w:val="0"/>
              <w:adjustRightInd w:val="0"/>
              <w:spacing w:line="320" w:lineRule="atLeast"/>
              <w:ind w:left="60" w:right="60"/>
              <w:jc w:val="center"/>
              <w:rPr>
                <w:color w:val="264A60"/>
                <w:lang w:eastAsia="ja-JP"/>
              </w:rPr>
            </w:pPr>
            <w:r w:rsidRPr="002E5822">
              <w:rPr>
                <w:color w:val="264A60"/>
                <w:lang w:eastAsia="ja-JP"/>
              </w:rPr>
              <w:t>Mean</w:t>
            </w:r>
          </w:p>
        </w:tc>
        <w:tc>
          <w:tcPr>
            <w:tcW w:w="704" w:type="pct"/>
          </w:tcPr>
          <w:p w14:paraId="277DDA8F" w14:textId="77777777" w:rsidR="00B437D5" w:rsidRPr="002E5822" w:rsidRDefault="00B437D5" w:rsidP="00DA715E">
            <w:pPr>
              <w:widowControl w:val="0"/>
              <w:autoSpaceDE w:val="0"/>
              <w:autoSpaceDN w:val="0"/>
              <w:adjustRightInd w:val="0"/>
              <w:spacing w:line="320" w:lineRule="atLeast"/>
              <w:ind w:left="60" w:right="60"/>
              <w:jc w:val="center"/>
              <w:rPr>
                <w:color w:val="264A60"/>
                <w:lang w:eastAsia="ja-JP"/>
              </w:rPr>
            </w:pPr>
            <w:r>
              <w:rPr>
                <w:color w:val="264A60"/>
                <w:lang w:eastAsia="ja-JP"/>
              </w:rPr>
              <w:t>SD</w:t>
            </w:r>
          </w:p>
        </w:tc>
        <w:tc>
          <w:tcPr>
            <w:tcW w:w="1419" w:type="pct"/>
          </w:tcPr>
          <w:p w14:paraId="22366B8E" w14:textId="77777777" w:rsidR="00B437D5" w:rsidRDefault="00B437D5" w:rsidP="00DA715E">
            <w:pPr>
              <w:widowControl w:val="0"/>
              <w:autoSpaceDE w:val="0"/>
              <w:autoSpaceDN w:val="0"/>
              <w:adjustRightInd w:val="0"/>
              <w:spacing w:line="320" w:lineRule="atLeast"/>
              <w:ind w:left="60" w:right="60"/>
              <w:jc w:val="center"/>
              <w:rPr>
                <w:color w:val="264A60"/>
                <w:lang w:eastAsia="ja-JP"/>
              </w:rPr>
            </w:pPr>
            <w:proofErr w:type="gramStart"/>
            <w:r>
              <w:rPr>
                <w:color w:val="264A60"/>
                <w:lang w:eastAsia="ja-JP"/>
              </w:rPr>
              <w:t>t</w:t>
            </w:r>
            <w:proofErr w:type="gramEnd"/>
            <w:r>
              <w:rPr>
                <w:color w:val="264A60"/>
                <w:lang w:eastAsia="ja-JP"/>
              </w:rPr>
              <w:t xml:space="preserve">, </w:t>
            </w:r>
            <w:proofErr w:type="spellStart"/>
            <w:r>
              <w:rPr>
                <w:color w:val="264A60"/>
                <w:lang w:eastAsia="ja-JP"/>
              </w:rPr>
              <w:t>df</w:t>
            </w:r>
            <w:proofErr w:type="spellEnd"/>
            <w:r>
              <w:rPr>
                <w:color w:val="264A60"/>
                <w:lang w:eastAsia="ja-JP"/>
              </w:rPr>
              <w:t>, p</w:t>
            </w:r>
          </w:p>
        </w:tc>
      </w:tr>
      <w:tr w:rsidR="00B437D5" w:rsidRPr="002E5822" w14:paraId="24A38F15" w14:textId="77777777" w:rsidTr="00DA715E">
        <w:tc>
          <w:tcPr>
            <w:tcW w:w="1138" w:type="pct"/>
            <w:vMerge w:val="restart"/>
          </w:tcPr>
          <w:p w14:paraId="61F7B73F"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Pr>
                <w:color w:val="264A60"/>
                <w:lang w:eastAsia="ja-JP"/>
              </w:rPr>
              <w:t>Moderate Exercise Risk Score</w:t>
            </w:r>
          </w:p>
        </w:tc>
        <w:tc>
          <w:tcPr>
            <w:tcW w:w="799" w:type="pct"/>
          </w:tcPr>
          <w:p w14:paraId="773DE604"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No</w:t>
            </w:r>
          </w:p>
        </w:tc>
        <w:tc>
          <w:tcPr>
            <w:tcW w:w="376" w:type="pct"/>
          </w:tcPr>
          <w:p w14:paraId="1CAE2A81"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139</w:t>
            </w:r>
          </w:p>
        </w:tc>
        <w:tc>
          <w:tcPr>
            <w:tcW w:w="564" w:type="pct"/>
            <w:vAlign w:val="center"/>
          </w:tcPr>
          <w:p w14:paraId="60A164DD"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2.09</w:t>
            </w:r>
          </w:p>
        </w:tc>
        <w:tc>
          <w:tcPr>
            <w:tcW w:w="704" w:type="pct"/>
            <w:vAlign w:val="center"/>
          </w:tcPr>
          <w:p w14:paraId="2AA74F7F"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1.36</w:t>
            </w:r>
          </w:p>
        </w:tc>
        <w:tc>
          <w:tcPr>
            <w:tcW w:w="1419" w:type="pct"/>
          </w:tcPr>
          <w:p w14:paraId="6FA19379"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r>
              <w:rPr>
                <w:rFonts w:eastAsia="Times New Roman"/>
                <w:color w:val="010205"/>
              </w:rPr>
              <w:t>-2.31, 998, p=0.021</w:t>
            </w:r>
          </w:p>
        </w:tc>
      </w:tr>
      <w:tr w:rsidR="00B437D5" w:rsidRPr="002E5822" w14:paraId="376AC007" w14:textId="77777777" w:rsidTr="00DA715E">
        <w:tc>
          <w:tcPr>
            <w:tcW w:w="1138" w:type="pct"/>
            <w:vMerge/>
          </w:tcPr>
          <w:p w14:paraId="31B4D180" w14:textId="77777777" w:rsidR="00B437D5" w:rsidRPr="002E5822" w:rsidRDefault="00B437D5" w:rsidP="00DA715E">
            <w:pPr>
              <w:widowControl w:val="0"/>
              <w:autoSpaceDE w:val="0"/>
              <w:autoSpaceDN w:val="0"/>
              <w:adjustRightInd w:val="0"/>
              <w:rPr>
                <w:color w:val="010205"/>
                <w:lang w:eastAsia="ja-JP"/>
              </w:rPr>
            </w:pPr>
          </w:p>
        </w:tc>
        <w:tc>
          <w:tcPr>
            <w:tcW w:w="799" w:type="pct"/>
          </w:tcPr>
          <w:p w14:paraId="00D5F02C"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Yes</w:t>
            </w:r>
          </w:p>
        </w:tc>
        <w:tc>
          <w:tcPr>
            <w:tcW w:w="376" w:type="pct"/>
          </w:tcPr>
          <w:p w14:paraId="2A6B8534"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861</w:t>
            </w:r>
          </w:p>
        </w:tc>
        <w:tc>
          <w:tcPr>
            <w:tcW w:w="564" w:type="pct"/>
            <w:vAlign w:val="center"/>
          </w:tcPr>
          <w:p w14:paraId="79E1DEBA"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2.36</w:t>
            </w:r>
          </w:p>
        </w:tc>
        <w:tc>
          <w:tcPr>
            <w:tcW w:w="704" w:type="pct"/>
            <w:vAlign w:val="center"/>
          </w:tcPr>
          <w:p w14:paraId="692A6BCF"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1.26</w:t>
            </w:r>
          </w:p>
        </w:tc>
        <w:tc>
          <w:tcPr>
            <w:tcW w:w="1419" w:type="pct"/>
          </w:tcPr>
          <w:p w14:paraId="1B76CB87"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4CDC4C52" w14:textId="77777777" w:rsidTr="00DA715E">
        <w:tc>
          <w:tcPr>
            <w:tcW w:w="1138" w:type="pct"/>
            <w:vMerge w:val="restart"/>
          </w:tcPr>
          <w:p w14:paraId="1555990C"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Vig</w:t>
            </w:r>
            <w:r>
              <w:rPr>
                <w:color w:val="264A60"/>
                <w:lang w:eastAsia="ja-JP"/>
              </w:rPr>
              <w:t>orous Exercise Risk Score</w:t>
            </w:r>
          </w:p>
        </w:tc>
        <w:tc>
          <w:tcPr>
            <w:tcW w:w="799" w:type="pct"/>
          </w:tcPr>
          <w:p w14:paraId="0FDD264C"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No</w:t>
            </w:r>
          </w:p>
        </w:tc>
        <w:tc>
          <w:tcPr>
            <w:tcW w:w="376" w:type="pct"/>
          </w:tcPr>
          <w:p w14:paraId="3212E948"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139</w:t>
            </w:r>
          </w:p>
        </w:tc>
        <w:tc>
          <w:tcPr>
            <w:tcW w:w="564" w:type="pct"/>
            <w:vAlign w:val="center"/>
          </w:tcPr>
          <w:p w14:paraId="1A8C476D"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3.30</w:t>
            </w:r>
          </w:p>
        </w:tc>
        <w:tc>
          <w:tcPr>
            <w:tcW w:w="704" w:type="pct"/>
            <w:vAlign w:val="center"/>
          </w:tcPr>
          <w:p w14:paraId="129CD307"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1.00</w:t>
            </w:r>
          </w:p>
        </w:tc>
        <w:tc>
          <w:tcPr>
            <w:tcW w:w="1419" w:type="pct"/>
          </w:tcPr>
          <w:p w14:paraId="25587063"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52A909AF" w14:textId="77777777" w:rsidTr="00DA715E">
        <w:tc>
          <w:tcPr>
            <w:tcW w:w="1138" w:type="pct"/>
            <w:vMerge/>
          </w:tcPr>
          <w:p w14:paraId="3A68D522" w14:textId="77777777" w:rsidR="00B437D5" w:rsidRPr="002E5822" w:rsidRDefault="00B437D5" w:rsidP="00DA715E">
            <w:pPr>
              <w:widowControl w:val="0"/>
              <w:autoSpaceDE w:val="0"/>
              <w:autoSpaceDN w:val="0"/>
              <w:adjustRightInd w:val="0"/>
              <w:rPr>
                <w:color w:val="010205"/>
                <w:lang w:eastAsia="ja-JP"/>
              </w:rPr>
            </w:pPr>
          </w:p>
        </w:tc>
        <w:tc>
          <w:tcPr>
            <w:tcW w:w="799" w:type="pct"/>
          </w:tcPr>
          <w:p w14:paraId="62C5500B"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Yes</w:t>
            </w:r>
          </w:p>
        </w:tc>
        <w:tc>
          <w:tcPr>
            <w:tcW w:w="376" w:type="pct"/>
          </w:tcPr>
          <w:p w14:paraId="469C95E7"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860</w:t>
            </w:r>
          </w:p>
        </w:tc>
        <w:tc>
          <w:tcPr>
            <w:tcW w:w="564" w:type="pct"/>
            <w:vAlign w:val="center"/>
          </w:tcPr>
          <w:p w14:paraId="002FABF1"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3.21</w:t>
            </w:r>
          </w:p>
        </w:tc>
        <w:tc>
          <w:tcPr>
            <w:tcW w:w="704" w:type="pct"/>
            <w:vAlign w:val="center"/>
          </w:tcPr>
          <w:p w14:paraId="3FE3FB0B"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1.05</w:t>
            </w:r>
          </w:p>
        </w:tc>
        <w:tc>
          <w:tcPr>
            <w:tcW w:w="1419" w:type="pct"/>
          </w:tcPr>
          <w:p w14:paraId="28229B35"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7E73CB5C" w14:textId="77777777" w:rsidTr="00DA715E">
        <w:tc>
          <w:tcPr>
            <w:tcW w:w="1138" w:type="pct"/>
            <w:vMerge w:val="restart"/>
          </w:tcPr>
          <w:p w14:paraId="39E558B7"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Pr>
                <w:color w:val="264A60"/>
                <w:lang w:eastAsia="ja-JP"/>
              </w:rPr>
              <w:t>Fast Food Risk Score</w:t>
            </w:r>
          </w:p>
        </w:tc>
        <w:tc>
          <w:tcPr>
            <w:tcW w:w="799" w:type="pct"/>
          </w:tcPr>
          <w:p w14:paraId="2E892BAA"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No</w:t>
            </w:r>
          </w:p>
        </w:tc>
        <w:tc>
          <w:tcPr>
            <w:tcW w:w="376" w:type="pct"/>
          </w:tcPr>
          <w:p w14:paraId="5F5CE1A9"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139</w:t>
            </w:r>
          </w:p>
        </w:tc>
        <w:tc>
          <w:tcPr>
            <w:tcW w:w="564" w:type="pct"/>
            <w:vAlign w:val="center"/>
          </w:tcPr>
          <w:p w14:paraId="094A067C"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1.23</w:t>
            </w:r>
          </w:p>
        </w:tc>
        <w:tc>
          <w:tcPr>
            <w:tcW w:w="704" w:type="pct"/>
            <w:vAlign w:val="center"/>
          </w:tcPr>
          <w:p w14:paraId="77E780B6"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1.05</w:t>
            </w:r>
          </w:p>
        </w:tc>
        <w:tc>
          <w:tcPr>
            <w:tcW w:w="1419" w:type="pct"/>
          </w:tcPr>
          <w:p w14:paraId="0741B2C4"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1CBBAE50" w14:textId="77777777" w:rsidTr="00DA715E">
        <w:tc>
          <w:tcPr>
            <w:tcW w:w="1138" w:type="pct"/>
            <w:vMerge/>
          </w:tcPr>
          <w:p w14:paraId="3B4D9789" w14:textId="77777777" w:rsidR="00B437D5" w:rsidRPr="002E5822" w:rsidRDefault="00B437D5" w:rsidP="00DA715E">
            <w:pPr>
              <w:widowControl w:val="0"/>
              <w:autoSpaceDE w:val="0"/>
              <w:autoSpaceDN w:val="0"/>
              <w:adjustRightInd w:val="0"/>
              <w:rPr>
                <w:color w:val="010205"/>
                <w:lang w:eastAsia="ja-JP"/>
              </w:rPr>
            </w:pPr>
          </w:p>
        </w:tc>
        <w:tc>
          <w:tcPr>
            <w:tcW w:w="799" w:type="pct"/>
          </w:tcPr>
          <w:p w14:paraId="2ABB3A36"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Yes</w:t>
            </w:r>
          </w:p>
        </w:tc>
        <w:tc>
          <w:tcPr>
            <w:tcW w:w="376" w:type="pct"/>
          </w:tcPr>
          <w:p w14:paraId="6BB5027B"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863</w:t>
            </w:r>
          </w:p>
        </w:tc>
        <w:tc>
          <w:tcPr>
            <w:tcW w:w="564" w:type="pct"/>
            <w:vAlign w:val="center"/>
          </w:tcPr>
          <w:p w14:paraId="1A2D12DC"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1.40</w:t>
            </w:r>
          </w:p>
        </w:tc>
        <w:tc>
          <w:tcPr>
            <w:tcW w:w="704" w:type="pct"/>
            <w:vAlign w:val="center"/>
          </w:tcPr>
          <w:p w14:paraId="4E39443C"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1.01</w:t>
            </w:r>
          </w:p>
        </w:tc>
        <w:tc>
          <w:tcPr>
            <w:tcW w:w="1419" w:type="pct"/>
          </w:tcPr>
          <w:p w14:paraId="05FB8220"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0FEA9E81" w14:textId="77777777" w:rsidTr="00DA715E">
        <w:tc>
          <w:tcPr>
            <w:tcW w:w="1138" w:type="pct"/>
            <w:vMerge w:val="restart"/>
          </w:tcPr>
          <w:p w14:paraId="671AFEBD"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Pr>
                <w:color w:val="264A60"/>
                <w:lang w:eastAsia="ja-JP"/>
              </w:rPr>
              <w:t>Sweetened D</w:t>
            </w:r>
            <w:r w:rsidRPr="002E5822">
              <w:rPr>
                <w:color w:val="264A60"/>
                <w:lang w:eastAsia="ja-JP"/>
              </w:rPr>
              <w:t>rink</w:t>
            </w:r>
            <w:r>
              <w:rPr>
                <w:color w:val="264A60"/>
                <w:lang w:eastAsia="ja-JP"/>
              </w:rPr>
              <w:t xml:space="preserve"> Risk Score</w:t>
            </w:r>
          </w:p>
        </w:tc>
        <w:tc>
          <w:tcPr>
            <w:tcW w:w="799" w:type="pct"/>
          </w:tcPr>
          <w:p w14:paraId="11AB8409"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No</w:t>
            </w:r>
          </w:p>
        </w:tc>
        <w:tc>
          <w:tcPr>
            <w:tcW w:w="376" w:type="pct"/>
          </w:tcPr>
          <w:p w14:paraId="7BF50BE8"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139</w:t>
            </w:r>
          </w:p>
        </w:tc>
        <w:tc>
          <w:tcPr>
            <w:tcW w:w="564" w:type="pct"/>
            <w:vAlign w:val="center"/>
          </w:tcPr>
          <w:p w14:paraId="02D6BDCB"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0.47</w:t>
            </w:r>
          </w:p>
        </w:tc>
        <w:tc>
          <w:tcPr>
            <w:tcW w:w="704" w:type="pct"/>
            <w:vAlign w:val="center"/>
          </w:tcPr>
          <w:p w14:paraId="033BC7A0"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0.79</w:t>
            </w:r>
          </w:p>
        </w:tc>
        <w:tc>
          <w:tcPr>
            <w:tcW w:w="1419" w:type="pct"/>
          </w:tcPr>
          <w:p w14:paraId="2766056B"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688D0D42" w14:textId="77777777" w:rsidTr="00DA715E">
        <w:tc>
          <w:tcPr>
            <w:tcW w:w="1138" w:type="pct"/>
            <w:vMerge/>
          </w:tcPr>
          <w:p w14:paraId="36CF7562" w14:textId="77777777" w:rsidR="00B437D5" w:rsidRPr="002E5822" w:rsidRDefault="00B437D5" w:rsidP="00DA715E">
            <w:pPr>
              <w:widowControl w:val="0"/>
              <w:autoSpaceDE w:val="0"/>
              <w:autoSpaceDN w:val="0"/>
              <w:adjustRightInd w:val="0"/>
              <w:rPr>
                <w:color w:val="010205"/>
                <w:lang w:eastAsia="ja-JP"/>
              </w:rPr>
            </w:pPr>
          </w:p>
        </w:tc>
        <w:tc>
          <w:tcPr>
            <w:tcW w:w="799" w:type="pct"/>
          </w:tcPr>
          <w:p w14:paraId="4FD7051F"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Yes</w:t>
            </w:r>
          </w:p>
        </w:tc>
        <w:tc>
          <w:tcPr>
            <w:tcW w:w="376" w:type="pct"/>
          </w:tcPr>
          <w:p w14:paraId="06EC4BE9"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862</w:t>
            </w:r>
          </w:p>
        </w:tc>
        <w:tc>
          <w:tcPr>
            <w:tcW w:w="564" w:type="pct"/>
            <w:vAlign w:val="center"/>
          </w:tcPr>
          <w:p w14:paraId="3228CE5C"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0.51</w:t>
            </w:r>
          </w:p>
        </w:tc>
        <w:tc>
          <w:tcPr>
            <w:tcW w:w="704" w:type="pct"/>
            <w:vAlign w:val="center"/>
          </w:tcPr>
          <w:p w14:paraId="62817969"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0.86</w:t>
            </w:r>
          </w:p>
        </w:tc>
        <w:tc>
          <w:tcPr>
            <w:tcW w:w="1419" w:type="pct"/>
          </w:tcPr>
          <w:p w14:paraId="1C1B90C1"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022EEB58" w14:textId="77777777" w:rsidTr="00DA715E">
        <w:tc>
          <w:tcPr>
            <w:tcW w:w="1138" w:type="pct"/>
            <w:vMerge w:val="restart"/>
          </w:tcPr>
          <w:p w14:paraId="06429251"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Pr>
                <w:color w:val="264A60"/>
                <w:lang w:eastAsia="ja-JP"/>
              </w:rPr>
              <w:t>Fruit and Vegetable Risk Score</w:t>
            </w:r>
          </w:p>
        </w:tc>
        <w:tc>
          <w:tcPr>
            <w:tcW w:w="799" w:type="pct"/>
          </w:tcPr>
          <w:p w14:paraId="42F3F223"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No</w:t>
            </w:r>
          </w:p>
        </w:tc>
        <w:tc>
          <w:tcPr>
            <w:tcW w:w="376" w:type="pct"/>
          </w:tcPr>
          <w:p w14:paraId="239CF1D9"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139</w:t>
            </w:r>
          </w:p>
        </w:tc>
        <w:tc>
          <w:tcPr>
            <w:tcW w:w="564" w:type="pct"/>
            <w:vAlign w:val="center"/>
          </w:tcPr>
          <w:p w14:paraId="56F6D019"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1.12</w:t>
            </w:r>
          </w:p>
        </w:tc>
        <w:tc>
          <w:tcPr>
            <w:tcW w:w="704" w:type="pct"/>
            <w:vAlign w:val="center"/>
          </w:tcPr>
          <w:p w14:paraId="559A26BF"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0.99</w:t>
            </w:r>
          </w:p>
        </w:tc>
        <w:tc>
          <w:tcPr>
            <w:tcW w:w="1419" w:type="pct"/>
          </w:tcPr>
          <w:p w14:paraId="15CD5B29"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64D08C7A" w14:textId="77777777" w:rsidTr="00DA715E">
        <w:tc>
          <w:tcPr>
            <w:tcW w:w="1138" w:type="pct"/>
            <w:vMerge/>
          </w:tcPr>
          <w:p w14:paraId="5D075254" w14:textId="77777777" w:rsidR="00B437D5" w:rsidRPr="002E5822" w:rsidRDefault="00B437D5" w:rsidP="00DA715E">
            <w:pPr>
              <w:widowControl w:val="0"/>
              <w:autoSpaceDE w:val="0"/>
              <w:autoSpaceDN w:val="0"/>
              <w:adjustRightInd w:val="0"/>
              <w:rPr>
                <w:color w:val="010205"/>
                <w:lang w:eastAsia="ja-JP"/>
              </w:rPr>
            </w:pPr>
          </w:p>
        </w:tc>
        <w:tc>
          <w:tcPr>
            <w:tcW w:w="799" w:type="pct"/>
          </w:tcPr>
          <w:p w14:paraId="7CEE45AB"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Yes</w:t>
            </w:r>
          </w:p>
        </w:tc>
        <w:tc>
          <w:tcPr>
            <w:tcW w:w="376" w:type="pct"/>
          </w:tcPr>
          <w:p w14:paraId="5BF3AA34"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860</w:t>
            </w:r>
          </w:p>
        </w:tc>
        <w:tc>
          <w:tcPr>
            <w:tcW w:w="564" w:type="pct"/>
            <w:vAlign w:val="center"/>
          </w:tcPr>
          <w:p w14:paraId="2DD57B1D"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0.98</w:t>
            </w:r>
          </w:p>
        </w:tc>
        <w:tc>
          <w:tcPr>
            <w:tcW w:w="704" w:type="pct"/>
            <w:vAlign w:val="center"/>
          </w:tcPr>
          <w:p w14:paraId="71E0C26D"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0.89</w:t>
            </w:r>
          </w:p>
        </w:tc>
        <w:tc>
          <w:tcPr>
            <w:tcW w:w="1419" w:type="pct"/>
          </w:tcPr>
          <w:p w14:paraId="568FC6F5"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57542D21" w14:textId="77777777" w:rsidTr="00DA715E">
        <w:tc>
          <w:tcPr>
            <w:tcW w:w="1138" w:type="pct"/>
            <w:vMerge w:val="restart"/>
          </w:tcPr>
          <w:p w14:paraId="2FAA1E9B"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Pr>
                <w:color w:val="264A60"/>
                <w:lang w:eastAsia="ja-JP"/>
              </w:rPr>
              <w:t xml:space="preserve">Tobacco Use </w:t>
            </w:r>
            <w:r w:rsidRPr="002E5822">
              <w:rPr>
                <w:color w:val="264A60"/>
                <w:lang w:eastAsia="ja-JP"/>
              </w:rPr>
              <w:t>Score</w:t>
            </w:r>
          </w:p>
        </w:tc>
        <w:tc>
          <w:tcPr>
            <w:tcW w:w="799" w:type="pct"/>
          </w:tcPr>
          <w:p w14:paraId="2C64E492"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No</w:t>
            </w:r>
          </w:p>
        </w:tc>
        <w:tc>
          <w:tcPr>
            <w:tcW w:w="376" w:type="pct"/>
          </w:tcPr>
          <w:p w14:paraId="35A17AB9"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145</w:t>
            </w:r>
          </w:p>
        </w:tc>
        <w:tc>
          <w:tcPr>
            <w:tcW w:w="564" w:type="pct"/>
            <w:vAlign w:val="center"/>
          </w:tcPr>
          <w:p w14:paraId="0EEDE234"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0.46</w:t>
            </w:r>
          </w:p>
        </w:tc>
        <w:tc>
          <w:tcPr>
            <w:tcW w:w="704" w:type="pct"/>
            <w:vAlign w:val="center"/>
          </w:tcPr>
          <w:p w14:paraId="570B93F2"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0.91</w:t>
            </w:r>
          </w:p>
        </w:tc>
        <w:tc>
          <w:tcPr>
            <w:tcW w:w="1419" w:type="pct"/>
          </w:tcPr>
          <w:p w14:paraId="72378773"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044AEAD7" w14:textId="77777777" w:rsidTr="00DA715E">
        <w:tc>
          <w:tcPr>
            <w:tcW w:w="1138" w:type="pct"/>
            <w:vMerge/>
          </w:tcPr>
          <w:p w14:paraId="5354299F" w14:textId="77777777" w:rsidR="00B437D5" w:rsidRPr="002E5822" w:rsidRDefault="00B437D5" w:rsidP="00DA715E">
            <w:pPr>
              <w:widowControl w:val="0"/>
              <w:autoSpaceDE w:val="0"/>
              <w:autoSpaceDN w:val="0"/>
              <w:adjustRightInd w:val="0"/>
              <w:rPr>
                <w:color w:val="010205"/>
                <w:lang w:eastAsia="ja-JP"/>
              </w:rPr>
            </w:pPr>
          </w:p>
        </w:tc>
        <w:tc>
          <w:tcPr>
            <w:tcW w:w="799" w:type="pct"/>
          </w:tcPr>
          <w:p w14:paraId="5ECDA269"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Yes</w:t>
            </w:r>
          </w:p>
        </w:tc>
        <w:tc>
          <w:tcPr>
            <w:tcW w:w="376" w:type="pct"/>
          </w:tcPr>
          <w:p w14:paraId="11DC7455"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864</w:t>
            </w:r>
          </w:p>
        </w:tc>
        <w:tc>
          <w:tcPr>
            <w:tcW w:w="564" w:type="pct"/>
            <w:vAlign w:val="center"/>
          </w:tcPr>
          <w:p w14:paraId="5167A0B8"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0.58</w:t>
            </w:r>
          </w:p>
        </w:tc>
        <w:tc>
          <w:tcPr>
            <w:tcW w:w="704" w:type="pct"/>
            <w:vAlign w:val="center"/>
          </w:tcPr>
          <w:p w14:paraId="0F8D8365"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0.92</w:t>
            </w:r>
          </w:p>
        </w:tc>
        <w:tc>
          <w:tcPr>
            <w:tcW w:w="1419" w:type="pct"/>
          </w:tcPr>
          <w:p w14:paraId="42F67748"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7911E32C" w14:textId="77777777" w:rsidTr="00DA715E">
        <w:tc>
          <w:tcPr>
            <w:tcW w:w="1138" w:type="pct"/>
            <w:vMerge w:val="restart"/>
          </w:tcPr>
          <w:p w14:paraId="491FD9E0"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Pr>
                <w:color w:val="264A60"/>
                <w:lang w:eastAsia="ja-JP"/>
              </w:rPr>
              <w:t>Mouth Condition Risk Score</w:t>
            </w:r>
          </w:p>
        </w:tc>
        <w:tc>
          <w:tcPr>
            <w:tcW w:w="799" w:type="pct"/>
          </w:tcPr>
          <w:p w14:paraId="65F640D0"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No</w:t>
            </w:r>
          </w:p>
        </w:tc>
        <w:tc>
          <w:tcPr>
            <w:tcW w:w="376" w:type="pct"/>
          </w:tcPr>
          <w:p w14:paraId="33214E9E"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138</w:t>
            </w:r>
          </w:p>
        </w:tc>
        <w:tc>
          <w:tcPr>
            <w:tcW w:w="564" w:type="pct"/>
            <w:vAlign w:val="center"/>
          </w:tcPr>
          <w:p w14:paraId="1FD1E22F"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1.75</w:t>
            </w:r>
          </w:p>
        </w:tc>
        <w:tc>
          <w:tcPr>
            <w:tcW w:w="704" w:type="pct"/>
            <w:vAlign w:val="center"/>
          </w:tcPr>
          <w:p w14:paraId="51DEF64C"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1.18</w:t>
            </w:r>
          </w:p>
        </w:tc>
        <w:tc>
          <w:tcPr>
            <w:tcW w:w="1419" w:type="pct"/>
          </w:tcPr>
          <w:p w14:paraId="719B978D"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r>
              <w:rPr>
                <w:rFonts w:eastAsia="Times New Roman"/>
                <w:color w:val="010205"/>
              </w:rPr>
              <w:t>4.15, 998, p&lt;0.001</w:t>
            </w:r>
          </w:p>
        </w:tc>
      </w:tr>
      <w:tr w:rsidR="00B437D5" w:rsidRPr="002E5822" w14:paraId="649E8FA4" w14:textId="77777777" w:rsidTr="00DA715E">
        <w:tc>
          <w:tcPr>
            <w:tcW w:w="1138" w:type="pct"/>
            <w:vMerge/>
          </w:tcPr>
          <w:p w14:paraId="3E44FF01" w14:textId="77777777" w:rsidR="00B437D5" w:rsidRPr="002E5822" w:rsidRDefault="00B437D5" w:rsidP="00DA715E">
            <w:pPr>
              <w:widowControl w:val="0"/>
              <w:autoSpaceDE w:val="0"/>
              <w:autoSpaceDN w:val="0"/>
              <w:adjustRightInd w:val="0"/>
              <w:rPr>
                <w:color w:val="010205"/>
                <w:lang w:eastAsia="ja-JP"/>
              </w:rPr>
            </w:pPr>
          </w:p>
        </w:tc>
        <w:tc>
          <w:tcPr>
            <w:tcW w:w="799" w:type="pct"/>
          </w:tcPr>
          <w:p w14:paraId="77F7921E"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Yes</w:t>
            </w:r>
          </w:p>
        </w:tc>
        <w:tc>
          <w:tcPr>
            <w:tcW w:w="376" w:type="pct"/>
          </w:tcPr>
          <w:p w14:paraId="6FAD710C"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862</w:t>
            </w:r>
          </w:p>
        </w:tc>
        <w:tc>
          <w:tcPr>
            <w:tcW w:w="564" w:type="pct"/>
            <w:vAlign w:val="center"/>
          </w:tcPr>
          <w:p w14:paraId="6BD6C5C7"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1.35</w:t>
            </w:r>
          </w:p>
        </w:tc>
        <w:tc>
          <w:tcPr>
            <w:tcW w:w="704" w:type="pct"/>
            <w:vAlign w:val="center"/>
          </w:tcPr>
          <w:p w14:paraId="296E5D34"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1.02</w:t>
            </w:r>
          </w:p>
        </w:tc>
        <w:tc>
          <w:tcPr>
            <w:tcW w:w="1419" w:type="pct"/>
          </w:tcPr>
          <w:p w14:paraId="09FA5BC0"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r w:rsidR="00B437D5" w:rsidRPr="002E5822" w14:paraId="5197F355" w14:textId="77777777" w:rsidTr="00DA715E">
        <w:tc>
          <w:tcPr>
            <w:tcW w:w="1138" w:type="pct"/>
            <w:vMerge w:val="restart"/>
          </w:tcPr>
          <w:p w14:paraId="31F97DF1"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Alcohol</w:t>
            </w:r>
            <w:r>
              <w:rPr>
                <w:color w:val="264A60"/>
                <w:lang w:eastAsia="ja-JP"/>
              </w:rPr>
              <w:t xml:space="preserve"> </w:t>
            </w:r>
            <w:r w:rsidRPr="002E5822">
              <w:rPr>
                <w:color w:val="264A60"/>
                <w:lang w:eastAsia="ja-JP"/>
              </w:rPr>
              <w:t>Score</w:t>
            </w:r>
          </w:p>
        </w:tc>
        <w:tc>
          <w:tcPr>
            <w:tcW w:w="799" w:type="pct"/>
          </w:tcPr>
          <w:p w14:paraId="4B614797"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No</w:t>
            </w:r>
          </w:p>
        </w:tc>
        <w:tc>
          <w:tcPr>
            <w:tcW w:w="376" w:type="pct"/>
          </w:tcPr>
          <w:p w14:paraId="6E0438CE"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145</w:t>
            </w:r>
          </w:p>
        </w:tc>
        <w:tc>
          <w:tcPr>
            <w:tcW w:w="564" w:type="pct"/>
            <w:vAlign w:val="center"/>
          </w:tcPr>
          <w:p w14:paraId="33042595"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2.25</w:t>
            </w:r>
          </w:p>
        </w:tc>
        <w:tc>
          <w:tcPr>
            <w:tcW w:w="704" w:type="pct"/>
            <w:vAlign w:val="center"/>
          </w:tcPr>
          <w:p w14:paraId="41228A96"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1.96</w:t>
            </w:r>
          </w:p>
        </w:tc>
        <w:tc>
          <w:tcPr>
            <w:tcW w:w="1419" w:type="pct"/>
          </w:tcPr>
          <w:p w14:paraId="652B84F1"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r>
              <w:rPr>
                <w:rFonts w:eastAsia="Times New Roman"/>
                <w:color w:val="010205"/>
              </w:rPr>
              <w:t>-2.02, 1008, p=0.043</w:t>
            </w:r>
          </w:p>
        </w:tc>
      </w:tr>
      <w:tr w:rsidR="00B437D5" w:rsidRPr="002E5822" w14:paraId="3787F275" w14:textId="77777777" w:rsidTr="00DA715E">
        <w:tc>
          <w:tcPr>
            <w:tcW w:w="1138" w:type="pct"/>
            <w:vMerge/>
          </w:tcPr>
          <w:p w14:paraId="4D5EDF4A" w14:textId="77777777" w:rsidR="00B437D5" w:rsidRPr="002E5822" w:rsidRDefault="00B437D5" w:rsidP="00DA715E">
            <w:pPr>
              <w:widowControl w:val="0"/>
              <w:autoSpaceDE w:val="0"/>
              <w:autoSpaceDN w:val="0"/>
              <w:adjustRightInd w:val="0"/>
              <w:rPr>
                <w:color w:val="010205"/>
                <w:lang w:eastAsia="ja-JP"/>
              </w:rPr>
            </w:pPr>
          </w:p>
        </w:tc>
        <w:tc>
          <w:tcPr>
            <w:tcW w:w="799" w:type="pct"/>
          </w:tcPr>
          <w:p w14:paraId="4BA90ACD" w14:textId="77777777" w:rsidR="00B437D5" w:rsidRPr="002E5822" w:rsidRDefault="00B437D5" w:rsidP="00DA715E">
            <w:pPr>
              <w:widowControl w:val="0"/>
              <w:autoSpaceDE w:val="0"/>
              <w:autoSpaceDN w:val="0"/>
              <w:adjustRightInd w:val="0"/>
              <w:spacing w:line="320" w:lineRule="atLeast"/>
              <w:ind w:left="60" w:right="60"/>
              <w:rPr>
                <w:color w:val="264A60"/>
                <w:lang w:eastAsia="ja-JP"/>
              </w:rPr>
            </w:pPr>
            <w:r w:rsidRPr="002E5822">
              <w:rPr>
                <w:color w:val="264A60"/>
                <w:lang w:eastAsia="ja-JP"/>
              </w:rPr>
              <w:t>Yes</w:t>
            </w:r>
          </w:p>
        </w:tc>
        <w:tc>
          <w:tcPr>
            <w:tcW w:w="376" w:type="pct"/>
          </w:tcPr>
          <w:p w14:paraId="2F102A0C"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sidRPr="002E5822">
              <w:rPr>
                <w:color w:val="010205"/>
                <w:lang w:eastAsia="ja-JP"/>
              </w:rPr>
              <w:t>865</w:t>
            </w:r>
          </w:p>
        </w:tc>
        <w:tc>
          <w:tcPr>
            <w:tcW w:w="564" w:type="pct"/>
            <w:vAlign w:val="center"/>
          </w:tcPr>
          <w:p w14:paraId="1A29E474"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2.63</w:t>
            </w:r>
          </w:p>
        </w:tc>
        <w:tc>
          <w:tcPr>
            <w:tcW w:w="704" w:type="pct"/>
            <w:vAlign w:val="center"/>
          </w:tcPr>
          <w:p w14:paraId="542E04AA" w14:textId="77777777" w:rsidR="00B437D5" w:rsidRPr="002E5822" w:rsidRDefault="00B437D5" w:rsidP="00DA715E">
            <w:pPr>
              <w:widowControl w:val="0"/>
              <w:autoSpaceDE w:val="0"/>
              <w:autoSpaceDN w:val="0"/>
              <w:adjustRightInd w:val="0"/>
              <w:spacing w:line="320" w:lineRule="atLeast"/>
              <w:ind w:left="60" w:right="60"/>
              <w:jc w:val="right"/>
              <w:rPr>
                <w:color w:val="010205"/>
                <w:lang w:eastAsia="ja-JP"/>
              </w:rPr>
            </w:pPr>
            <w:r>
              <w:rPr>
                <w:rFonts w:eastAsia="Times New Roman"/>
                <w:color w:val="010205"/>
              </w:rPr>
              <w:t>2.10</w:t>
            </w:r>
          </w:p>
        </w:tc>
        <w:tc>
          <w:tcPr>
            <w:tcW w:w="1419" w:type="pct"/>
          </w:tcPr>
          <w:p w14:paraId="0475D563" w14:textId="77777777" w:rsidR="00B437D5" w:rsidRDefault="00B437D5" w:rsidP="00DA715E">
            <w:pPr>
              <w:widowControl w:val="0"/>
              <w:autoSpaceDE w:val="0"/>
              <w:autoSpaceDN w:val="0"/>
              <w:adjustRightInd w:val="0"/>
              <w:spacing w:line="320" w:lineRule="atLeast"/>
              <w:ind w:left="60" w:right="60"/>
              <w:jc w:val="right"/>
              <w:rPr>
                <w:rFonts w:eastAsia="Times New Roman"/>
                <w:color w:val="010205"/>
              </w:rPr>
            </w:pPr>
          </w:p>
        </w:tc>
      </w:tr>
    </w:tbl>
    <w:p w14:paraId="2B92310E" w14:textId="77777777" w:rsidR="00B437D5" w:rsidRDefault="00B437D5" w:rsidP="00896BF1">
      <w:pPr>
        <w:spacing w:line="480" w:lineRule="auto"/>
        <w:ind w:firstLine="720"/>
      </w:pPr>
    </w:p>
    <w:p w14:paraId="1F7A44EC" w14:textId="7E5E4EE5" w:rsidR="00DF3ECE" w:rsidRPr="00C64E9D" w:rsidRDefault="00C64E9D" w:rsidP="00B437D5">
      <w:pPr>
        <w:spacing w:line="480" w:lineRule="auto"/>
        <w:ind w:firstLine="720"/>
      </w:pPr>
      <w:r w:rsidRPr="00B437D5">
        <w:t xml:space="preserve">A </w:t>
      </w:r>
      <w:r w:rsidR="00F637CD" w:rsidRPr="00B437D5">
        <w:t>linear</w:t>
      </w:r>
      <w:r w:rsidRPr="00B437D5">
        <w:t xml:space="preserve"> regression was conducted to estimate a regression model that best predicts PWS scores among surveyed women based on </w:t>
      </w:r>
      <w:r w:rsidR="00F637CD" w:rsidRPr="00B437D5">
        <w:t>high blood pressure/hypertension, high cholesterol, obesity housing quality, neighborhood condition, neighborhood litter, neighborhood safety</w:t>
      </w:r>
      <w:r w:rsidRPr="00B437D5">
        <w:t>, and personal car ownership.</w:t>
      </w:r>
      <w:r w:rsidRPr="00C64E9D">
        <w:t xml:space="preserve"> The results of the analysis revealed that five of the six factors were significant predictors of PWS scores (</w:t>
      </w:r>
      <w:r w:rsidRPr="002F1565">
        <w:rPr>
          <w:i/>
        </w:rPr>
        <w:t>F</w:t>
      </w:r>
      <w:r w:rsidR="00F637CD">
        <w:t>=30.21</w:t>
      </w:r>
      <w:r w:rsidRPr="00C64E9D">
        <w:t xml:space="preserve">, </w:t>
      </w:r>
      <w:r w:rsidRPr="00C64E9D">
        <w:rPr>
          <w:i/>
          <w:iCs/>
        </w:rPr>
        <w:t>p</w:t>
      </w:r>
      <w:r w:rsidR="00F637CD">
        <w:t>&lt;0.001). With a beta of -0.856</w:t>
      </w:r>
      <w:r w:rsidRPr="00C64E9D">
        <w:t xml:space="preserve">, </w:t>
      </w:r>
      <w:r w:rsidR="00F637CD">
        <w:t>housing quality</w:t>
      </w:r>
      <w:r w:rsidRPr="00C64E9D">
        <w:t xml:space="preserve"> emerged as the strongest predi</w:t>
      </w:r>
      <w:r w:rsidR="00F637CD">
        <w:t>ctor of PWS, accounting for 7</w:t>
      </w:r>
      <w:r w:rsidR="00E90EF6">
        <w:t>%</w:t>
      </w:r>
      <w:r w:rsidRPr="00C64E9D">
        <w:t xml:space="preserve"> of the variance in PWS scores. The second strongest predictor of PWS </w:t>
      </w:r>
      <w:proofErr w:type="gramStart"/>
      <w:r w:rsidRPr="00C64E9D">
        <w:t xml:space="preserve">was </w:t>
      </w:r>
      <w:r w:rsidR="00E81105">
        <w:t>owning</w:t>
      </w:r>
      <w:proofErr w:type="gramEnd"/>
      <w:r w:rsidR="00E81105">
        <w:t xml:space="preserve"> a personal vehicle</w:t>
      </w:r>
      <w:r w:rsidRPr="00C64E9D">
        <w:t xml:space="preserve"> (</w:t>
      </w:r>
      <w:r w:rsidRPr="00C64E9D">
        <w:rPr>
          <w:i/>
          <w:iCs/>
        </w:rPr>
        <w:t>b</w:t>
      </w:r>
      <w:r w:rsidRPr="00C64E9D">
        <w:t>=</w:t>
      </w:r>
      <w:r w:rsidR="00E81105">
        <w:t>1.66</w:t>
      </w:r>
      <w:r w:rsidRPr="00C64E9D">
        <w:t xml:space="preserve">, </w:t>
      </w:r>
      <w:r w:rsidRPr="00C64E9D">
        <w:rPr>
          <w:i/>
          <w:iCs/>
        </w:rPr>
        <w:t>p</w:t>
      </w:r>
      <w:r w:rsidR="00E81105">
        <w:t>&lt;0.001), accounting for 2.5</w:t>
      </w:r>
      <w:r w:rsidRPr="00C64E9D">
        <w:t xml:space="preserve">% of the variance. The third strongest factor was </w:t>
      </w:r>
      <w:r w:rsidR="00E81105">
        <w:t>having a medical diagnosis of obesity</w:t>
      </w:r>
      <w:r w:rsidRPr="00C64E9D">
        <w:t xml:space="preserve"> (</w:t>
      </w:r>
      <w:r w:rsidRPr="00C64E9D">
        <w:rPr>
          <w:i/>
          <w:iCs/>
        </w:rPr>
        <w:t>b</w:t>
      </w:r>
      <w:r w:rsidR="00E81105">
        <w:t>=-0.879</w:t>
      </w:r>
      <w:r w:rsidRPr="00C64E9D">
        <w:t xml:space="preserve">, </w:t>
      </w:r>
      <w:r w:rsidRPr="00C64E9D">
        <w:rPr>
          <w:i/>
          <w:iCs/>
        </w:rPr>
        <w:t>p</w:t>
      </w:r>
      <w:r w:rsidR="00E81105">
        <w:t>=</w:t>
      </w:r>
      <w:r w:rsidRPr="00C64E9D">
        <w:t xml:space="preserve">0.001, </w:t>
      </w:r>
      <w:proofErr w:type="spellStart"/>
      <w:r w:rsidR="002F1565">
        <w:rPr>
          <w:i/>
        </w:rPr>
        <w:t>r</w:t>
      </w:r>
      <w:r w:rsidRPr="002F1565">
        <w:rPr>
          <w:i/>
          <w:vertAlign w:val="superscript"/>
        </w:rPr>
        <w:t>2</w:t>
      </w:r>
      <w:proofErr w:type="spellEnd"/>
      <w:r w:rsidRPr="00C64E9D">
        <w:t>=</w:t>
      </w:r>
      <w:r w:rsidR="002F1565">
        <w:t>0</w:t>
      </w:r>
      <w:r w:rsidR="00E81105">
        <w:t>.112</w:t>
      </w:r>
      <w:r w:rsidRPr="00C64E9D">
        <w:t xml:space="preserve">), the </w:t>
      </w:r>
      <w:r w:rsidR="00E81105" w:rsidRPr="00C64E9D">
        <w:t>forth-strongest</w:t>
      </w:r>
      <w:r w:rsidRPr="00C64E9D">
        <w:t xml:space="preserve"> factor was </w:t>
      </w:r>
      <w:r w:rsidR="00E81105">
        <w:t>neighborhood safety</w:t>
      </w:r>
      <w:r w:rsidRPr="00C64E9D">
        <w:t xml:space="preserve"> (</w:t>
      </w:r>
      <w:r w:rsidRPr="00C64E9D">
        <w:rPr>
          <w:i/>
          <w:iCs/>
        </w:rPr>
        <w:t>b</w:t>
      </w:r>
      <w:r w:rsidRPr="00C64E9D">
        <w:t>=</w:t>
      </w:r>
      <w:r w:rsidR="00E81105">
        <w:t>-</w:t>
      </w:r>
      <w:r w:rsidR="002F1565">
        <w:lastRenderedPageBreak/>
        <w:t>0</w:t>
      </w:r>
      <w:r w:rsidR="00E81105">
        <w:t>.495</w:t>
      </w:r>
      <w:r w:rsidRPr="00C64E9D">
        <w:t xml:space="preserve">, </w:t>
      </w:r>
      <w:r w:rsidRPr="00C64E9D">
        <w:rPr>
          <w:i/>
          <w:iCs/>
        </w:rPr>
        <w:t>p</w:t>
      </w:r>
      <w:r w:rsidR="002F1565">
        <w:t xml:space="preserve">&lt;0.001, </w:t>
      </w:r>
      <w:proofErr w:type="spellStart"/>
      <w:r w:rsidR="002F1565" w:rsidRPr="002F1565">
        <w:rPr>
          <w:i/>
        </w:rPr>
        <w:t>r</w:t>
      </w:r>
      <w:r w:rsidRPr="002F1565">
        <w:rPr>
          <w:i/>
          <w:vertAlign w:val="superscript"/>
        </w:rPr>
        <w:t>2</w:t>
      </w:r>
      <w:proofErr w:type="spellEnd"/>
      <w:r w:rsidRPr="00C64E9D">
        <w:t>=</w:t>
      </w:r>
      <w:r w:rsidR="002F1565">
        <w:t>0</w:t>
      </w:r>
      <w:r w:rsidR="00E81105">
        <w:t>.123</w:t>
      </w:r>
      <w:r w:rsidRPr="00C64E9D">
        <w:t xml:space="preserve">), and </w:t>
      </w:r>
      <w:r w:rsidR="00E81105">
        <w:t>a diagnosis of high cholesterol</w:t>
      </w:r>
      <w:r w:rsidRPr="00C64E9D">
        <w:t xml:space="preserve"> was the fifth and final factor (</w:t>
      </w:r>
      <w:r w:rsidRPr="00C64E9D">
        <w:rPr>
          <w:i/>
          <w:iCs/>
        </w:rPr>
        <w:t>b</w:t>
      </w:r>
      <w:r w:rsidR="00E81105">
        <w:t>=-1.153</w:t>
      </w:r>
      <w:r w:rsidRPr="00C64E9D">
        <w:t xml:space="preserve">, </w:t>
      </w:r>
      <w:r w:rsidRPr="00C64E9D">
        <w:rPr>
          <w:i/>
          <w:iCs/>
        </w:rPr>
        <w:t>p</w:t>
      </w:r>
      <w:r w:rsidR="00E81105">
        <w:t>=</w:t>
      </w:r>
      <w:r w:rsidRPr="00C64E9D">
        <w:t xml:space="preserve">0.001, </w:t>
      </w:r>
      <w:proofErr w:type="spellStart"/>
      <w:r w:rsidR="002F1565">
        <w:rPr>
          <w:i/>
        </w:rPr>
        <w:t>r</w:t>
      </w:r>
      <w:r w:rsidRPr="002F1565">
        <w:rPr>
          <w:i/>
          <w:vertAlign w:val="superscript"/>
        </w:rPr>
        <w:t>2</w:t>
      </w:r>
      <w:proofErr w:type="spellEnd"/>
      <w:r w:rsidRPr="00C64E9D">
        <w:t>=</w:t>
      </w:r>
      <w:r w:rsidR="002F1565">
        <w:t>0</w:t>
      </w:r>
      <w:r w:rsidR="00E81105">
        <w:t>.133</w:t>
      </w:r>
      <w:r w:rsidRPr="00C64E9D">
        <w:t xml:space="preserve">). </w:t>
      </w:r>
      <w:r w:rsidR="00E81105">
        <w:t>The total model accounted for 13.3</w:t>
      </w:r>
      <w:r w:rsidRPr="00C64E9D">
        <w:t xml:space="preserve">% of the variance in PWS scores. Higher PWS scores are a function of </w:t>
      </w:r>
      <w:r w:rsidR="00E81105">
        <w:t>better housing quality</w:t>
      </w:r>
      <w:r w:rsidRPr="00C64E9D">
        <w:t xml:space="preserve">, </w:t>
      </w:r>
      <w:r w:rsidR="00E81105">
        <w:t>owning a personal vehicle</w:t>
      </w:r>
      <w:r w:rsidRPr="00C64E9D">
        <w:t xml:space="preserve">, </w:t>
      </w:r>
      <w:r w:rsidR="00E81105">
        <w:t xml:space="preserve">not having </w:t>
      </w:r>
      <w:r w:rsidR="00F31158">
        <w:t>a medical diagnosis of obesity</w:t>
      </w:r>
      <w:r w:rsidRPr="00C64E9D">
        <w:t>, and car ownership.</w:t>
      </w:r>
    </w:p>
    <w:p w14:paraId="540DA44A" w14:textId="03059D82" w:rsidR="00C64E9D" w:rsidRPr="00B437D5" w:rsidRDefault="00C64E9D" w:rsidP="00B437D5">
      <w:pPr>
        <w:spacing w:line="480" w:lineRule="auto"/>
        <w:jc w:val="center"/>
        <w:rPr>
          <w:b/>
        </w:rPr>
      </w:pPr>
      <w:r w:rsidRPr="00C64E9D">
        <w:rPr>
          <w:b/>
        </w:rPr>
        <w:t>Conclusion</w:t>
      </w:r>
    </w:p>
    <w:p w14:paraId="2A6489E5" w14:textId="77777777" w:rsidR="00C64E9D" w:rsidRPr="00C64E9D" w:rsidRDefault="00C64E9D" w:rsidP="00C64E9D">
      <w:pPr>
        <w:spacing w:line="480" w:lineRule="auto"/>
        <w:ind w:firstLine="720"/>
      </w:pPr>
      <w:r w:rsidRPr="00C64E9D">
        <w:t xml:space="preserve">This study evaluates the complexities of transportation barriers and the impact on health and living situation for women in the US. Car ownership emerged as an important factor for harsher living conditions but lower BMI and health diagnoses displaying the complicated nature of the social determinants of health. </w:t>
      </w:r>
    </w:p>
    <w:p w14:paraId="6E0AD5F4" w14:textId="77777777" w:rsidR="00C64E9D" w:rsidRDefault="00C64E9D" w:rsidP="00C64E9D">
      <w:pPr>
        <w:spacing w:line="480" w:lineRule="auto"/>
        <w:ind w:firstLine="720"/>
      </w:pPr>
      <w:r w:rsidRPr="00C64E9D">
        <w:t xml:space="preserve">Although online data collection led to limitations in the generalizability of these findings, this study provides a platform for future research. Engaging minority women is essential to truly understand the impact of transportation barriers. Future studies may also benefit from specific age cohort recruitment to know how age </w:t>
      </w:r>
      <w:proofErr w:type="gramStart"/>
      <w:r w:rsidRPr="00C64E9D">
        <w:t>impacts</w:t>
      </w:r>
      <w:proofErr w:type="gramEnd"/>
      <w:r w:rsidRPr="00C64E9D">
        <w:t xml:space="preserve"> these effects. </w:t>
      </w:r>
    </w:p>
    <w:p w14:paraId="30BEE196" w14:textId="77777777" w:rsidR="00C64E9D" w:rsidRPr="00C64E9D" w:rsidRDefault="00C64E9D" w:rsidP="00C64E9D">
      <w:pPr>
        <w:spacing w:line="480" w:lineRule="auto"/>
        <w:jc w:val="center"/>
        <w:rPr>
          <w:b/>
        </w:rPr>
      </w:pPr>
      <w:r w:rsidRPr="00C64E9D">
        <w:rPr>
          <w:b/>
        </w:rPr>
        <w:t>Implications for Social Work</w:t>
      </w:r>
    </w:p>
    <w:p w14:paraId="25E0F95B" w14:textId="77777777" w:rsidR="00C64E9D" w:rsidRPr="00C64E9D" w:rsidRDefault="00C64E9D" w:rsidP="00C64E9D">
      <w:pPr>
        <w:spacing w:line="480" w:lineRule="auto"/>
        <w:ind w:firstLine="720"/>
      </w:pPr>
      <w:r w:rsidRPr="00C64E9D">
        <w:t>Social workers are in a critical position within communities to address transportation barriers. The results of this study indicate that women who are without a personal vehicle may also face risks in their living conditions. Although the health factors need further exploration, social workers should address transportation barriers with their clients to understand where interventions should begin to take place.</w:t>
      </w:r>
    </w:p>
    <w:p w14:paraId="42CAE4EF" w14:textId="77777777" w:rsidR="00C64E9D" w:rsidRPr="00C64E9D" w:rsidRDefault="00C64E9D" w:rsidP="00C64E9D">
      <w:pPr>
        <w:spacing w:line="480" w:lineRule="auto"/>
        <w:ind w:firstLine="720"/>
      </w:pPr>
      <w:r w:rsidRPr="00C64E9D">
        <w:t xml:space="preserve">Social workers are also essential to policy development and implementation. If car ownership is associated with poorer living conditions, social workers will play a pivotal role in increasing fair access to car ownership opportunities such as equal pay in the workplace. </w:t>
      </w:r>
    </w:p>
    <w:p w14:paraId="7CBD8C99" w14:textId="77777777" w:rsidR="00C64E9D" w:rsidRDefault="00C64E9D" w:rsidP="00C64E9D">
      <w:pPr>
        <w:spacing w:line="480" w:lineRule="auto"/>
      </w:pPr>
      <w:r w:rsidRPr="00C64E9D">
        <w:lastRenderedPageBreak/>
        <w:t>As transportation research continues to develop insight into the structural barriers faced by clients, social workers can work with community and transportation stakeholders to increase awareness of the implications of these barriers. Spreading this knowledge may increase activity to break down transportation obstacles.</w:t>
      </w:r>
    </w:p>
    <w:p w14:paraId="0EC7B961" w14:textId="77777777" w:rsidR="00873624" w:rsidRDefault="00873624" w:rsidP="00C64E9D">
      <w:pPr>
        <w:spacing w:line="480" w:lineRule="auto"/>
      </w:pPr>
    </w:p>
    <w:p w14:paraId="1F1F7204" w14:textId="77777777" w:rsidR="00873624" w:rsidRDefault="00873624">
      <w:r>
        <w:br w:type="page"/>
      </w:r>
    </w:p>
    <w:p w14:paraId="201B981F" w14:textId="196FD801" w:rsidR="00C64E9D" w:rsidRDefault="00873624" w:rsidP="00B437D5">
      <w:pPr>
        <w:spacing w:line="480" w:lineRule="auto"/>
        <w:jc w:val="center"/>
      </w:pPr>
      <w:r>
        <w:lastRenderedPageBreak/>
        <w:t>References</w:t>
      </w:r>
    </w:p>
    <w:p w14:paraId="13F3C651" w14:textId="77777777" w:rsidR="00B437D5" w:rsidRPr="00B437D5" w:rsidRDefault="00B437D5" w:rsidP="00B437D5">
      <w:pPr>
        <w:spacing w:line="480" w:lineRule="auto"/>
      </w:pPr>
      <w:r w:rsidRPr="00B437D5">
        <w:t xml:space="preserve">Adams, T., </w:t>
      </w:r>
      <w:proofErr w:type="spellStart"/>
      <w:r w:rsidRPr="00B437D5">
        <w:t>Bezner</w:t>
      </w:r>
      <w:proofErr w:type="spellEnd"/>
      <w:r w:rsidRPr="00B437D5">
        <w:t xml:space="preserve">, J., Garner, L., &amp; Woodruff, S. (1998). Construct validation of the perceived </w:t>
      </w:r>
      <w:r w:rsidRPr="00B437D5">
        <w:tab/>
        <w:t>wellness survey. </w:t>
      </w:r>
      <w:proofErr w:type="gramStart"/>
      <w:r w:rsidRPr="00B437D5">
        <w:rPr>
          <w:i/>
          <w:iCs/>
        </w:rPr>
        <w:t>American Journal of Health Studies, 14</w:t>
      </w:r>
      <w:r w:rsidRPr="00B437D5">
        <w:t>(4), 212-219.</w:t>
      </w:r>
      <w:proofErr w:type="gramEnd"/>
      <w:r w:rsidRPr="00B437D5">
        <w:t> </w:t>
      </w:r>
    </w:p>
    <w:p w14:paraId="4D90651B" w14:textId="77777777" w:rsidR="00B437D5" w:rsidRDefault="00B437D5" w:rsidP="00B437D5">
      <w:pPr>
        <w:spacing w:line="480" w:lineRule="auto"/>
      </w:pPr>
      <w:proofErr w:type="spellStart"/>
      <w:r w:rsidRPr="00B437D5">
        <w:t>Adorno</w:t>
      </w:r>
      <w:proofErr w:type="spellEnd"/>
      <w:r w:rsidRPr="00B437D5">
        <w:t xml:space="preserve">, G., Fields, N., Cronley, C., Parekh, R., &amp; </w:t>
      </w:r>
      <w:proofErr w:type="spellStart"/>
      <w:r w:rsidRPr="00B437D5">
        <w:t>Magruder</w:t>
      </w:r>
      <w:proofErr w:type="spellEnd"/>
      <w:r w:rsidRPr="00B437D5">
        <w:t xml:space="preserve">, K. (2016). Ageing in a </w:t>
      </w:r>
      <w:proofErr w:type="gramStart"/>
      <w:r w:rsidRPr="00B437D5">
        <w:t>low density</w:t>
      </w:r>
      <w:proofErr w:type="gramEnd"/>
      <w:r w:rsidRPr="00B437D5">
        <w:t xml:space="preserve"> </w:t>
      </w:r>
      <w:r w:rsidRPr="00B437D5">
        <w:tab/>
        <w:t xml:space="preserve">urban city: Transportation mobility as a social equity issue. </w:t>
      </w:r>
      <w:r w:rsidRPr="00B437D5">
        <w:rPr>
          <w:i/>
          <w:iCs/>
        </w:rPr>
        <w:t>Ageing and Society,</w:t>
      </w:r>
      <w:r>
        <w:t xml:space="preserve"> 1-</w:t>
      </w:r>
      <w:proofErr w:type="spellStart"/>
      <w:r>
        <w:t>25,</w:t>
      </w:r>
    </w:p>
    <w:p w14:paraId="0A0BDB62" w14:textId="3783A2A3" w:rsidR="00B437D5" w:rsidRPr="00B437D5" w:rsidRDefault="00B437D5" w:rsidP="00B437D5">
      <w:pPr>
        <w:spacing w:line="480" w:lineRule="auto"/>
        <w:ind w:firstLine="720"/>
      </w:pPr>
      <w:proofErr w:type="gramStart"/>
      <w:r w:rsidRPr="00B437D5">
        <w:t>doi</w:t>
      </w:r>
      <w:proofErr w:type="spellEnd"/>
      <w:proofErr w:type="gramEnd"/>
      <w:r w:rsidRPr="00B437D5">
        <w:t>: 10.1017/</w:t>
      </w:r>
      <w:proofErr w:type="spellStart"/>
      <w:r w:rsidRPr="00B437D5">
        <w:t>S0144686X16000994</w:t>
      </w:r>
      <w:proofErr w:type="spellEnd"/>
    </w:p>
    <w:p w14:paraId="03EBFCCC" w14:textId="77777777" w:rsidR="00B437D5" w:rsidRPr="00B437D5" w:rsidRDefault="00B437D5" w:rsidP="00B437D5">
      <w:pPr>
        <w:spacing w:line="480" w:lineRule="auto"/>
      </w:pPr>
      <w:proofErr w:type="spellStart"/>
      <w:proofErr w:type="gramStart"/>
      <w:r w:rsidRPr="00B437D5">
        <w:t>Beckie</w:t>
      </w:r>
      <w:proofErr w:type="spellEnd"/>
      <w:r w:rsidRPr="00B437D5">
        <w:t>, T. M. (2012).</w:t>
      </w:r>
      <w:proofErr w:type="gramEnd"/>
      <w:r w:rsidRPr="00B437D5">
        <w:t xml:space="preserve"> </w:t>
      </w:r>
      <w:proofErr w:type="gramStart"/>
      <w:r w:rsidRPr="00B437D5">
        <w:t>A systematic review of allostatic load, health, and health disparities.</w:t>
      </w:r>
      <w:proofErr w:type="gramEnd"/>
    </w:p>
    <w:p w14:paraId="0F4DC872" w14:textId="77777777" w:rsidR="00B437D5" w:rsidRPr="00B437D5" w:rsidRDefault="00B437D5" w:rsidP="00B437D5">
      <w:pPr>
        <w:spacing w:line="480" w:lineRule="auto"/>
      </w:pPr>
      <w:r w:rsidRPr="00B437D5">
        <w:rPr>
          <w:i/>
          <w:iCs/>
        </w:rPr>
        <w:tab/>
      </w:r>
      <w:proofErr w:type="gramStart"/>
      <w:r w:rsidRPr="00B437D5">
        <w:rPr>
          <w:i/>
          <w:iCs/>
        </w:rPr>
        <w:t>Biological Research for Nursing, 14</w:t>
      </w:r>
      <w:r w:rsidRPr="00B437D5">
        <w:t>(4), 311-346.</w:t>
      </w:r>
      <w:proofErr w:type="gramEnd"/>
      <w:r w:rsidRPr="00B437D5">
        <w:t xml:space="preserve"> </w:t>
      </w:r>
      <w:proofErr w:type="spellStart"/>
      <w:proofErr w:type="gramStart"/>
      <w:r w:rsidRPr="00B437D5">
        <w:t>doi:10.1177</w:t>
      </w:r>
      <w:proofErr w:type="spellEnd"/>
      <w:proofErr w:type="gramEnd"/>
      <w:r w:rsidRPr="00B437D5">
        <w:t>/1099800412455688</w:t>
      </w:r>
    </w:p>
    <w:p w14:paraId="360F88F1" w14:textId="77777777" w:rsidR="00B437D5" w:rsidRPr="00B437D5" w:rsidRDefault="00B437D5" w:rsidP="00B437D5">
      <w:pPr>
        <w:spacing w:line="480" w:lineRule="auto"/>
      </w:pPr>
      <w:proofErr w:type="gramStart"/>
      <w:r w:rsidRPr="00B437D5">
        <w:t>Cho, S., Crenshaw, K. W., &amp; McCall, L. (2013).</w:t>
      </w:r>
      <w:proofErr w:type="gramEnd"/>
      <w:r w:rsidRPr="00B437D5">
        <w:t xml:space="preserve"> Toward a field of intersectionality</w:t>
      </w:r>
    </w:p>
    <w:p w14:paraId="0D0562FD" w14:textId="77777777" w:rsidR="00B437D5" w:rsidRPr="00B437D5" w:rsidRDefault="00B437D5" w:rsidP="00B437D5">
      <w:pPr>
        <w:spacing w:line="480" w:lineRule="auto"/>
      </w:pPr>
      <w:r w:rsidRPr="00B437D5">
        <w:tab/>
      </w:r>
      <w:proofErr w:type="gramStart"/>
      <w:r w:rsidRPr="00B437D5">
        <w:t>studies</w:t>
      </w:r>
      <w:proofErr w:type="gramEnd"/>
      <w:r w:rsidRPr="00B437D5">
        <w:t xml:space="preserve">: Theory, applications, and praxis. </w:t>
      </w:r>
      <w:r w:rsidRPr="00B437D5">
        <w:rPr>
          <w:i/>
          <w:iCs/>
        </w:rPr>
        <w:t>Signs: Journal of Women in Culture and</w:t>
      </w:r>
    </w:p>
    <w:p w14:paraId="22B34ACB" w14:textId="77777777" w:rsidR="00B437D5" w:rsidRPr="00B437D5" w:rsidRDefault="00B437D5" w:rsidP="00B437D5">
      <w:pPr>
        <w:spacing w:line="480" w:lineRule="auto"/>
      </w:pPr>
      <w:r w:rsidRPr="00B437D5">
        <w:rPr>
          <w:i/>
          <w:iCs/>
        </w:rPr>
        <w:tab/>
      </w:r>
      <w:proofErr w:type="gramStart"/>
      <w:r w:rsidRPr="00B437D5">
        <w:rPr>
          <w:i/>
          <w:iCs/>
        </w:rPr>
        <w:t>Society, 38</w:t>
      </w:r>
      <w:r w:rsidRPr="00B437D5">
        <w:t>(4), 785-810.</w:t>
      </w:r>
      <w:proofErr w:type="gramEnd"/>
    </w:p>
    <w:p w14:paraId="53492124" w14:textId="77777777" w:rsidR="00B437D5" w:rsidRPr="00B437D5" w:rsidRDefault="00B437D5" w:rsidP="00B437D5">
      <w:pPr>
        <w:spacing w:line="480" w:lineRule="auto"/>
      </w:pPr>
      <w:proofErr w:type="gramStart"/>
      <w:r w:rsidRPr="00B437D5">
        <w:t xml:space="preserve">Choi, M., </w:t>
      </w:r>
      <w:proofErr w:type="spellStart"/>
      <w:r w:rsidRPr="00B437D5">
        <w:t>Mezuk</w:t>
      </w:r>
      <w:proofErr w:type="spellEnd"/>
      <w:r w:rsidRPr="00B437D5">
        <w:t xml:space="preserve">, B., </w:t>
      </w:r>
      <w:proofErr w:type="spellStart"/>
      <w:r w:rsidRPr="00B437D5">
        <w:t>Lohman</w:t>
      </w:r>
      <w:proofErr w:type="spellEnd"/>
      <w:r w:rsidRPr="00B437D5">
        <w:t xml:space="preserve">, M. C., Edwards, J. D., &amp; </w:t>
      </w:r>
      <w:proofErr w:type="spellStart"/>
      <w:r w:rsidRPr="00B437D5">
        <w:t>Rebok</w:t>
      </w:r>
      <w:proofErr w:type="spellEnd"/>
      <w:r w:rsidRPr="00B437D5">
        <w:t>, G. W. (2012).</w:t>
      </w:r>
      <w:proofErr w:type="gramEnd"/>
      <w:r w:rsidRPr="00B437D5">
        <w:t xml:space="preserve"> Gender and</w:t>
      </w:r>
    </w:p>
    <w:p w14:paraId="223A91B8" w14:textId="77777777" w:rsidR="00B437D5" w:rsidRDefault="00B437D5" w:rsidP="00B437D5">
      <w:pPr>
        <w:spacing w:line="480" w:lineRule="auto"/>
        <w:rPr>
          <w:i/>
          <w:iCs/>
        </w:rPr>
      </w:pPr>
      <w:r w:rsidRPr="00B437D5">
        <w:tab/>
      </w:r>
      <w:proofErr w:type="gramStart"/>
      <w:r w:rsidRPr="00B437D5">
        <w:t>racial</w:t>
      </w:r>
      <w:proofErr w:type="gramEnd"/>
      <w:r w:rsidRPr="00B437D5">
        <w:t xml:space="preserve"> disparities in driving cessation among older adults. </w:t>
      </w:r>
      <w:r>
        <w:rPr>
          <w:i/>
          <w:iCs/>
        </w:rPr>
        <w:t xml:space="preserve">Journal of Ageing and </w:t>
      </w:r>
      <w:r>
        <w:rPr>
          <w:i/>
          <w:iCs/>
        </w:rPr>
        <w:tab/>
        <w:t>Health,</w:t>
      </w:r>
    </w:p>
    <w:p w14:paraId="37894249" w14:textId="3BF4FD49" w:rsidR="00B437D5" w:rsidRPr="00B437D5" w:rsidRDefault="00B437D5" w:rsidP="00B437D5">
      <w:pPr>
        <w:spacing w:line="480" w:lineRule="auto"/>
        <w:ind w:firstLine="720"/>
      </w:pPr>
      <w:proofErr w:type="gramStart"/>
      <w:r w:rsidRPr="00B437D5">
        <w:rPr>
          <w:i/>
          <w:iCs/>
        </w:rPr>
        <w:t>24</w:t>
      </w:r>
      <w:r w:rsidRPr="00B437D5">
        <w:t>(8), 1364-1379.</w:t>
      </w:r>
      <w:proofErr w:type="gramEnd"/>
    </w:p>
    <w:p w14:paraId="27C0CD0D" w14:textId="77777777" w:rsidR="00B437D5" w:rsidRPr="00B437D5" w:rsidRDefault="00B437D5" w:rsidP="00B437D5">
      <w:pPr>
        <w:spacing w:line="480" w:lineRule="auto"/>
      </w:pPr>
      <w:proofErr w:type="gramStart"/>
      <w:r w:rsidRPr="00B437D5">
        <w:t>Crenshaw, K. M. (1989).</w:t>
      </w:r>
      <w:proofErr w:type="gramEnd"/>
      <w:r w:rsidRPr="00B437D5">
        <w:t xml:space="preserve"> </w:t>
      </w:r>
      <w:proofErr w:type="spellStart"/>
      <w:r w:rsidRPr="00B437D5">
        <w:t>Demarginalizing</w:t>
      </w:r>
      <w:proofErr w:type="spellEnd"/>
      <w:r w:rsidRPr="00B437D5">
        <w:t xml:space="preserve"> the intersection of race and sex: A black feminist</w:t>
      </w:r>
    </w:p>
    <w:p w14:paraId="2A874018" w14:textId="77777777" w:rsidR="00B437D5" w:rsidRPr="00B437D5" w:rsidRDefault="00B437D5" w:rsidP="00B437D5">
      <w:pPr>
        <w:spacing w:line="480" w:lineRule="auto"/>
      </w:pPr>
      <w:r w:rsidRPr="00B437D5">
        <w:tab/>
      </w:r>
      <w:proofErr w:type="gramStart"/>
      <w:r w:rsidRPr="00B437D5">
        <w:t>critique</w:t>
      </w:r>
      <w:proofErr w:type="gramEnd"/>
      <w:r w:rsidRPr="00B437D5">
        <w:t xml:space="preserve"> of antidiscrimination doctrine, feminist theory and antiracist politics. </w:t>
      </w:r>
      <w:r w:rsidRPr="00B437D5">
        <w:rPr>
          <w:i/>
          <w:iCs/>
        </w:rPr>
        <w:t>The</w:t>
      </w:r>
    </w:p>
    <w:p w14:paraId="21B2A06D" w14:textId="77777777" w:rsidR="00B437D5" w:rsidRPr="00B437D5" w:rsidRDefault="00B437D5" w:rsidP="00B437D5">
      <w:pPr>
        <w:spacing w:line="480" w:lineRule="auto"/>
      </w:pPr>
      <w:r w:rsidRPr="00B437D5">
        <w:rPr>
          <w:i/>
          <w:iCs/>
        </w:rPr>
        <w:tab/>
        <w:t>University of Chicago Legal Forum, (</w:t>
      </w:r>
      <w:proofErr w:type="gramStart"/>
      <w:r w:rsidRPr="00B437D5">
        <w:rPr>
          <w:i/>
          <w:iCs/>
        </w:rPr>
        <w:t>1989)</w:t>
      </w:r>
      <w:r w:rsidRPr="00B437D5">
        <w:t>1</w:t>
      </w:r>
      <w:proofErr w:type="gramEnd"/>
      <w:r w:rsidRPr="00B437D5">
        <w:t>, 139–167.</w:t>
      </w:r>
    </w:p>
    <w:p w14:paraId="5CC148EB" w14:textId="77777777" w:rsidR="00B437D5" w:rsidRPr="00B437D5" w:rsidRDefault="00B437D5" w:rsidP="00B437D5">
      <w:pPr>
        <w:spacing w:line="480" w:lineRule="auto"/>
      </w:pPr>
      <w:r w:rsidRPr="00B437D5">
        <w:t>Kim, S. (2011). Assessing mobility in an ageing society: Personal and built environment</w:t>
      </w:r>
    </w:p>
    <w:p w14:paraId="3FD33FCC" w14:textId="77777777" w:rsidR="00B437D5" w:rsidRDefault="00B437D5" w:rsidP="00B437D5">
      <w:pPr>
        <w:spacing w:line="480" w:lineRule="auto"/>
      </w:pPr>
      <w:r w:rsidRPr="00B437D5">
        <w:tab/>
      </w:r>
      <w:proofErr w:type="gramStart"/>
      <w:r w:rsidRPr="00B437D5">
        <w:t>factors</w:t>
      </w:r>
      <w:proofErr w:type="gramEnd"/>
      <w:r w:rsidRPr="00B437D5">
        <w:t xml:space="preserve"> associated with older people’s subjective tr</w:t>
      </w:r>
      <w:r>
        <w:t>ansportation deficiency in the U.S.</w:t>
      </w:r>
    </w:p>
    <w:p w14:paraId="7E17389B" w14:textId="264347E8" w:rsidR="00B437D5" w:rsidRPr="00B437D5" w:rsidRDefault="00B437D5" w:rsidP="00B437D5">
      <w:pPr>
        <w:spacing w:line="480" w:lineRule="auto"/>
        <w:ind w:firstLine="720"/>
      </w:pPr>
      <w:r w:rsidRPr="00B437D5">
        <w:t xml:space="preserve">Transportation Research, Part F. </w:t>
      </w:r>
      <w:r w:rsidRPr="00B437D5">
        <w:rPr>
          <w:i/>
          <w:iCs/>
        </w:rPr>
        <w:t>Traffic Psychology and Behaviour, 14</w:t>
      </w:r>
      <w:r>
        <w:t xml:space="preserve">(5), </w:t>
      </w:r>
      <w:r w:rsidRPr="00B437D5">
        <w:t>422-429.</w:t>
      </w:r>
    </w:p>
    <w:p w14:paraId="5BE39F53" w14:textId="77777777" w:rsidR="00B437D5" w:rsidRPr="00B437D5" w:rsidRDefault="00B437D5" w:rsidP="00B437D5">
      <w:pPr>
        <w:spacing w:line="480" w:lineRule="auto"/>
      </w:pPr>
      <w:r w:rsidRPr="00B437D5">
        <w:t xml:space="preserve">Solar, O. &amp; Irwin, A. (2010). </w:t>
      </w:r>
      <w:r w:rsidRPr="00B437D5">
        <w:rPr>
          <w:i/>
          <w:iCs/>
        </w:rPr>
        <w:t>A conceptual framework for action on the social determinants of</w:t>
      </w:r>
    </w:p>
    <w:p w14:paraId="4664074C" w14:textId="77777777" w:rsidR="00B437D5" w:rsidRPr="00B437D5" w:rsidRDefault="00B437D5" w:rsidP="00B437D5">
      <w:pPr>
        <w:spacing w:line="480" w:lineRule="auto"/>
      </w:pPr>
      <w:r w:rsidRPr="00B437D5">
        <w:rPr>
          <w:i/>
          <w:iCs/>
        </w:rPr>
        <w:tab/>
      </w:r>
      <w:proofErr w:type="gramStart"/>
      <w:r w:rsidRPr="00B437D5">
        <w:rPr>
          <w:i/>
          <w:iCs/>
        </w:rPr>
        <w:t>health</w:t>
      </w:r>
      <w:proofErr w:type="gramEnd"/>
      <w:r w:rsidRPr="00B437D5">
        <w:t>. Geneva, Switzerland: World Health Organization Press.</w:t>
      </w:r>
    </w:p>
    <w:p w14:paraId="0678C7C7" w14:textId="77777777" w:rsidR="00B437D5" w:rsidRPr="00B437D5" w:rsidRDefault="00B437D5" w:rsidP="00B437D5">
      <w:pPr>
        <w:spacing w:line="480" w:lineRule="auto"/>
      </w:pPr>
      <w:r w:rsidRPr="00B437D5">
        <w:t>Syed, S. T., Gerber, B. S., &amp; Sharp, L. K. (2013). Traveling toward disease: Transportation</w:t>
      </w:r>
    </w:p>
    <w:p w14:paraId="6294D69D" w14:textId="77777777" w:rsidR="00B437D5" w:rsidRPr="00B437D5" w:rsidRDefault="00B437D5" w:rsidP="00B437D5">
      <w:pPr>
        <w:spacing w:line="480" w:lineRule="auto"/>
      </w:pPr>
      <w:r w:rsidRPr="00B437D5">
        <w:lastRenderedPageBreak/>
        <w:tab/>
      </w:r>
      <w:proofErr w:type="gramStart"/>
      <w:r w:rsidRPr="00B437D5">
        <w:t>barriers</w:t>
      </w:r>
      <w:proofErr w:type="gramEnd"/>
      <w:r w:rsidRPr="00B437D5">
        <w:t xml:space="preserve"> to health care access. </w:t>
      </w:r>
      <w:proofErr w:type="gramStart"/>
      <w:r w:rsidRPr="00B437D5">
        <w:rPr>
          <w:i/>
          <w:iCs/>
        </w:rPr>
        <w:t>Journal of Community Health, 38</w:t>
      </w:r>
      <w:r w:rsidRPr="00B437D5">
        <w:t>(5), 976-993.</w:t>
      </w:r>
      <w:proofErr w:type="gramEnd"/>
      <w:r w:rsidRPr="00B437D5">
        <w:t xml:space="preserve"> </w:t>
      </w:r>
      <w:r w:rsidRPr="00B437D5">
        <w:tab/>
      </w:r>
      <w:proofErr w:type="spellStart"/>
      <w:proofErr w:type="gramStart"/>
      <w:r w:rsidRPr="00B437D5">
        <w:t>doi</w:t>
      </w:r>
      <w:proofErr w:type="spellEnd"/>
      <w:proofErr w:type="gramEnd"/>
      <w:r w:rsidRPr="00B437D5">
        <w:t>:  10.1007/</w:t>
      </w:r>
      <w:proofErr w:type="spellStart"/>
      <w:r w:rsidRPr="00B437D5">
        <w:t>s10900</w:t>
      </w:r>
      <w:proofErr w:type="spellEnd"/>
      <w:r w:rsidRPr="00B437D5">
        <w:t>-013-9681-1</w:t>
      </w:r>
    </w:p>
    <w:p w14:paraId="02FA1D28" w14:textId="77777777" w:rsidR="00B437D5" w:rsidRPr="00B437D5" w:rsidRDefault="00B437D5" w:rsidP="00B437D5">
      <w:pPr>
        <w:spacing w:line="480" w:lineRule="auto"/>
      </w:pPr>
      <w:r w:rsidRPr="00B437D5">
        <w:t xml:space="preserve">Ward, E., </w:t>
      </w:r>
      <w:proofErr w:type="spellStart"/>
      <w:r w:rsidRPr="00B437D5">
        <w:t>Jemal</w:t>
      </w:r>
      <w:proofErr w:type="spellEnd"/>
      <w:r w:rsidRPr="00B437D5">
        <w:t xml:space="preserve">, A., </w:t>
      </w:r>
      <w:proofErr w:type="spellStart"/>
      <w:r w:rsidRPr="00B437D5">
        <w:t>Cokkinides</w:t>
      </w:r>
      <w:proofErr w:type="spellEnd"/>
      <w:r w:rsidRPr="00B437D5">
        <w:t xml:space="preserve">, V., Singh, G. K., </w:t>
      </w:r>
      <w:proofErr w:type="spellStart"/>
      <w:r w:rsidRPr="00B437D5">
        <w:t>Cardinez</w:t>
      </w:r>
      <w:proofErr w:type="spellEnd"/>
      <w:r w:rsidRPr="00B437D5">
        <w:t xml:space="preserve">, C., </w:t>
      </w:r>
      <w:proofErr w:type="spellStart"/>
      <w:r w:rsidRPr="00B437D5">
        <w:t>Ghafoor</w:t>
      </w:r>
      <w:proofErr w:type="spellEnd"/>
      <w:r w:rsidRPr="00B437D5">
        <w:t xml:space="preserve">, A., &amp; </w:t>
      </w:r>
      <w:proofErr w:type="spellStart"/>
      <w:r w:rsidRPr="00B437D5">
        <w:t>Thun</w:t>
      </w:r>
      <w:proofErr w:type="spellEnd"/>
      <w:r w:rsidRPr="00B437D5">
        <w:t>, M.</w:t>
      </w:r>
    </w:p>
    <w:p w14:paraId="22DF5346" w14:textId="77777777" w:rsidR="00B437D5" w:rsidRDefault="00B437D5" w:rsidP="00B437D5">
      <w:pPr>
        <w:spacing w:line="480" w:lineRule="auto"/>
        <w:rPr>
          <w:i/>
          <w:iCs/>
        </w:rPr>
      </w:pPr>
      <w:r w:rsidRPr="00B437D5">
        <w:tab/>
        <w:t>(2004)</w:t>
      </w:r>
      <w:proofErr w:type="gramStart"/>
      <w:r w:rsidRPr="00B437D5">
        <w:t>. Cancer disparities by race/ethnicity and socioeconomic status.</w:t>
      </w:r>
      <w:proofErr w:type="gramEnd"/>
      <w:r w:rsidRPr="00B437D5">
        <w:t> </w:t>
      </w:r>
      <w:r>
        <w:rPr>
          <w:i/>
          <w:iCs/>
        </w:rPr>
        <w:t>CA: A Cancer</w:t>
      </w:r>
    </w:p>
    <w:p w14:paraId="503D2C05" w14:textId="6C8A58CD" w:rsidR="00B437D5" w:rsidRPr="00B437D5" w:rsidRDefault="00B437D5" w:rsidP="00B437D5">
      <w:pPr>
        <w:spacing w:line="480" w:lineRule="auto"/>
        <w:ind w:firstLine="720"/>
      </w:pPr>
      <w:bookmarkStart w:id="0" w:name="_GoBack"/>
      <w:bookmarkEnd w:id="0"/>
      <w:r w:rsidRPr="00B437D5">
        <w:rPr>
          <w:i/>
          <w:iCs/>
        </w:rPr>
        <w:t>Journal for Clinicians, 54</w:t>
      </w:r>
      <w:r w:rsidRPr="00B437D5">
        <w:t xml:space="preserve">(2), 78-93. </w:t>
      </w:r>
      <w:proofErr w:type="spellStart"/>
      <w:proofErr w:type="gramStart"/>
      <w:r w:rsidRPr="00B437D5">
        <w:t>doi:10.3322</w:t>
      </w:r>
      <w:proofErr w:type="spellEnd"/>
      <w:proofErr w:type="gramEnd"/>
      <w:r w:rsidRPr="00B437D5">
        <w:t>/</w:t>
      </w:r>
      <w:proofErr w:type="spellStart"/>
      <w:r w:rsidRPr="00B437D5">
        <w:t>canjclin.54.2.78</w:t>
      </w:r>
      <w:proofErr w:type="spellEnd"/>
    </w:p>
    <w:p w14:paraId="0DA670A1" w14:textId="77777777" w:rsidR="00905242" w:rsidRPr="00905242" w:rsidRDefault="00905242" w:rsidP="00905242">
      <w:pPr>
        <w:spacing w:line="480" w:lineRule="auto"/>
      </w:pPr>
    </w:p>
    <w:sectPr w:rsidR="00905242" w:rsidRPr="00905242" w:rsidSect="00C64E9D">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DE7AD3" w15:done="0"/>
  <w15:commentEx w15:paraId="244FD001" w15:done="0"/>
  <w15:commentEx w15:paraId="605AD6CA" w15:done="0"/>
  <w15:commentEx w15:paraId="0B18BD98" w15:done="0"/>
  <w15:commentEx w15:paraId="47462E89" w15:done="0"/>
  <w15:commentEx w15:paraId="7520BB81" w15:done="0"/>
  <w15:commentEx w15:paraId="61217EC1" w15:done="0"/>
  <w15:commentEx w15:paraId="33345E40" w15:done="0"/>
  <w15:commentEx w15:paraId="2E7E8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DE7AD3" w16cid:durableId="1F3398C1"/>
  <w16cid:commentId w16cid:paraId="244FD001" w16cid:durableId="1F3395E6"/>
  <w16cid:commentId w16cid:paraId="605AD6CA" w16cid:durableId="1F33978E"/>
  <w16cid:commentId w16cid:paraId="0B18BD98" w16cid:durableId="1F3397C9"/>
  <w16cid:commentId w16cid:paraId="47462E89" w16cid:durableId="1F3397E3"/>
  <w16cid:commentId w16cid:paraId="7520BB81" w16cid:durableId="1F3397F3"/>
  <w16cid:commentId w16cid:paraId="61217EC1" w16cid:durableId="1F339830"/>
  <w16cid:commentId w16cid:paraId="33345E40" w16cid:durableId="1F339858"/>
  <w16cid:commentId w16cid:paraId="2E7E8A71" w16cid:durableId="1F3398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06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51F61EA5"/>
    <w:multiLevelType w:val="hybridMultilevel"/>
    <w:tmpl w:val="BA6A09E6"/>
    <w:lvl w:ilvl="0" w:tplc="FA6C952C">
      <w:start w:val="1"/>
      <w:numFmt w:val="bullet"/>
      <w:lvlText w:val="•"/>
      <w:lvlJc w:val="left"/>
      <w:pPr>
        <w:tabs>
          <w:tab w:val="num" w:pos="720"/>
        </w:tabs>
        <w:ind w:left="720" w:hanging="360"/>
      </w:pPr>
      <w:rPr>
        <w:rFonts w:ascii="Arial" w:hAnsi="Arial" w:hint="default"/>
      </w:rPr>
    </w:lvl>
    <w:lvl w:ilvl="1" w:tplc="4E06C2A6" w:tentative="1">
      <w:start w:val="1"/>
      <w:numFmt w:val="bullet"/>
      <w:lvlText w:val="•"/>
      <w:lvlJc w:val="left"/>
      <w:pPr>
        <w:tabs>
          <w:tab w:val="num" w:pos="1440"/>
        </w:tabs>
        <w:ind w:left="1440" w:hanging="360"/>
      </w:pPr>
      <w:rPr>
        <w:rFonts w:ascii="Arial" w:hAnsi="Arial" w:hint="default"/>
      </w:rPr>
    </w:lvl>
    <w:lvl w:ilvl="2" w:tplc="043CC052" w:tentative="1">
      <w:start w:val="1"/>
      <w:numFmt w:val="bullet"/>
      <w:lvlText w:val="•"/>
      <w:lvlJc w:val="left"/>
      <w:pPr>
        <w:tabs>
          <w:tab w:val="num" w:pos="2160"/>
        </w:tabs>
        <w:ind w:left="2160" w:hanging="360"/>
      </w:pPr>
      <w:rPr>
        <w:rFonts w:ascii="Arial" w:hAnsi="Arial" w:hint="default"/>
      </w:rPr>
    </w:lvl>
    <w:lvl w:ilvl="3" w:tplc="9C784C76" w:tentative="1">
      <w:start w:val="1"/>
      <w:numFmt w:val="bullet"/>
      <w:lvlText w:val="•"/>
      <w:lvlJc w:val="left"/>
      <w:pPr>
        <w:tabs>
          <w:tab w:val="num" w:pos="2880"/>
        </w:tabs>
        <w:ind w:left="2880" w:hanging="360"/>
      </w:pPr>
      <w:rPr>
        <w:rFonts w:ascii="Arial" w:hAnsi="Arial" w:hint="default"/>
      </w:rPr>
    </w:lvl>
    <w:lvl w:ilvl="4" w:tplc="B4188374" w:tentative="1">
      <w:start w:val="1"/>
      <w:numFmt w:val="bullet"/>
      <w:lvlText w:val="•"/>
      <w:lvlJc w:val="left"/>
      <w:pPr>
        <w:tabs>
          <w:tab w:val="num" w:pos="3600"/>
        </w:tabs>
        <w:ind w:left="3600" w:hanging="360"/>
      </w:pPr>
      <w:rPr>
        <w:rFonts w:ascii="Arial" w:hAnsi="Arial" w:hint="default"/>
      </w:rPr>
    </w:lvl>
    <w:lvl w:ilvl="5" w:tplc="8FF2B51C" w:tentative="1">
      <w:start w:val="1"/>
      <w:numFmt w:val="bullet"/>
      <w:lvlText w:val="•"/>
      <w:lvlJc w:val="left"/>
      <w:pPr>
        <w:tabs>
          <w:tab w:val="num" w:pos="4320"/>
        </w:tabs>
        <w:ind w:left="4320" w:hanging="360"/>
      </w:pPr>
      <w:rPr>
        <w:rFonts w:ascii="Arial" w:hAnsi="Arial" w:hint="default"/>
      </w:rPr>
    </w:lvl>
    <w:lvl w:ilvl="6" w:tplc="62805246" w:tentative="1">
      <w:start w:val="1"/>
      <w:numFmt w:val="bullet"/>
      <w:lvlText w:val="•"/>
      <w:lvlJc w:val="left"/>
      <w:pPr>
        <w:tabs>
          <w:tab w:val="num" w:pos="5040"/>
        </w:tabs>
        <w:ind w:left="5040" w:hanging="360"/>
      </w:pPr>
      <w:rPr>
        <w:rFonts w:ascii="Arial" w:hAnsi="Arial" w:hint="default"/>
      </w:rPr>
    </w:lvl>
    <w:lvl w:ilvl="7" w:tplc="B2748FEA" w:tentative="1">
      <w:start w:val="1"/>
      <w:numFmt w:val="bullet"/>
      <w:lvlText w:val="•"/>
      <w:lvlJc w:val="left"/>
      <w:pPr>
        <w:tabs>
          <w:tab w:val="num" w:pos="5760"/>
        </w:tabs>
        <w:ind w:left="5760" w:hanging="360"/>
      </w:pPr>
      <w:rPr>
        <w:rFonts w:ascii="Arial" w:hAnsi="Arial" w:hint="default"/>
      </w:rPr>
    </w:lvl>
    <w:lvl w:ilvl="8" w:tplc="680270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onley, Courtney M">
    <w15:presenceInfo w15:providerId="Windows Live" w15:userId="b4fce401-4dee-40b5-bea9-17d486b24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9D"/>
    <w:rsid w:val="00140800"/>
    <w:rsid w:val="002129B1"/>
    <w:rsid w:val="002420C4"/>
    <w:rsid w:val="00243DA7"/>
    <w:rsid w:val="002C76C5"/>
    <w:rsid w:val="002D3C98"/>
    <w:rsid w:val="002E5822"/>
    <w:rsid w:val="002F1565"/>
    <w:rsid w:val="00332F1A"/>
    <w:rsid w:val="0041430E"/>
    <w:rsid w:val="00415B03"/>
    <w:rsid w:val="00575AD0"/>
    <w:rsid w:val="00581C14"/>
    <w:rsid w:val="005874B7"/>
    <w:rsid w:val="00591BD6"/>
    <w:rsid w:val="00660B15"/>
    <w:rsid w:val="006C2358"/>
    <w:rsid w:val="00737220"/>
    <w:rsid w:val="00873624"/>
    <w:rsid w:val="00896BF1"/>
    <w:rsid w:val="008C3670"/>
    <w:rsid w:val="00905242"/>
    <w:rsid w:val="00A0762F"/>
    <w:rsid w:val="00AB6B7E"/>
    <w:rsid w:val="00B2513A"/>
    <w:rsid w:val="00B437D5"/>
    <w:rsid w:val="00B764D2"/>
    <w:rsid w:val="00C64E9D"/>
    <w:rsid w:val="00C9148C"/>
    <w:rsid w:val="00D4093D"/>
    <w:rsid w:val="00DE5153"/>
    <w:rsid w:val="00DF3ECE"/>
    <w:rsid w:val="00DF6DDE"/>
    <w:rsid w:val="00E276B4"/>
    <w:rsid w:val="00E515D8"/>
    <w:rsid w:val="00E81105"/>
    <w:rsid w:val="00E90EF6"/>
    <w:rsid w:val="00EC26D5"/>
    <w:rsid w:val="00F10E00"/>
    <w:rsid w:val="00F31158"/>
    <w:rsid w:val="00F637CD"/>
    <w:rsid w:val="00FB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A42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F6DDE"/>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DDE"/>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DD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6DD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DD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DD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DD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DD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6DD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rsid w:val="0041430E"/>
    <w:pPr>
      <w:ind w:left="720"/>
    </w:pPr>
    <w:rPr>
      <w:rFonts w:asciiTheme="minorHAnsi" w:hAnsiTheme="minorHAnsi"/>
      <w:sz w:val="20"/>
      <w:szCs w:val="20"/>
    </w:rPr>
  </w:style>
  <w:style w:type="paragraph" w:styleId="TableofFigures">
    <w:name w:val="table of figures"/>
    <w:aliases w:val="LIST OF TABLES"/>
    <w:basedOn w:val="Normal"/>
    <w:next w:val="Normal"/>
    <w:uiPriority w:val="99"/>
    <w:unhideWhenUsed/>
    <w:qFormat/>
    <w:rsid w:val="0041430E"/>
    <w:pPr>
      <w:ind w:left="480" w:hanging="480"/>
    </w:pPr>
  </w:style>
  <w:style w:type="table" w:styleId="TableGrid">
    <w:name w:val="Table Grid"/>
    <w:basedOn w:val="TableNormal"/>
    <w:uiPriority w:val="59"/>
    <w:rsid w:val="00140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6DDE"/>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DF6DD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F6DDE"/>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DF6DDE"/>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DF6DDE"/>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6DD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DF6DD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DF6DD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6DDE"/>
    <w:rPr>
      <w:rFonts w:asciiTheme="majorHAnsi" w:eastAsiaTheme="majorEastAsia" w:hAnsiTheme="majorHAnsi" w:cstheme="majorBidi"/>
      <w:i/>
      <w:iCs/>
      <w:color w:val="404040" w:themeColor="text1" w:themeTint="BF"/>
      <w:lang w:eastAsia="en-US"/>
    </w:rPr>
  </w:style>
  <w:style w:type="paragraph" w:styleId="BalloonText">
    <w:name w:val="Balloon Text"/>
    <w:basedOn w:val="Normal"/>
    <w:link w:val="BalloonTextChar"/>
    <w:uiPriority w:val="99"/>
    <w:semiHidden/>
    <w:unhideWhenUsed/>
    <w:rsid w:val="00581C14"/>
    <w:rPr>
      <w:sz w:val="18"/>
      <w:szCs w:val="18"/>
    </w:rPr>
  </w:style>
  <w:style w:type="character" w:customStyle="1" w:styleId="BalloonTextChar">
    <w:name w:val="Balloon Text Char"/>
    <w:basedOn w:val="DefaultParagraphFont"/>
    <w:link w:val="BalloonText"/>
    <w:uiPriority w:val="99"/>
    <w:semiHidden/>
    <w:rsid w:val="00581C14"/>
    <w:rPr>
      <w:sz w:val="18"/>
      <w:szCs w:val="18"/>
      <w:lang w:eastAsia="en-US"/>
    </w:rPr>
  </w:style>
  <w:style w:type="character" w:styleId="CommentReference">
    <w:name w:val="annotation reference"/>
    <w:basedOn w:val="DefaultParagraphFont"/>
    <w:uiPriority w:val="99"/>
    <w:semiHidden/>
    <w:unhideWhenUsed/>
    <w:rsid w:val="00581C14"/>
    <w:rPr>
      <w:sz w:val="16"/>
      <w:szCs w:val="16"/>
    </w:rPr>
  </w:style>
  <w:style w:type="paragraph" w:styleId="CommentText">
    <w:name w:val="annotation text"/>
    <w:basedOn w:val="Normal"/>
    <w:link w:val="CommentTextChar"/>
    <w:uiPriority w:val="99"/>
    <w:semiHidden/>
    <w:unhideWhenUsed/>
    <w:rsid w:val="00581C14"/>
    <w:rPr>
      <w:sz w:val="20"/>
      <w:szCs w:val="20"/>
    </w:rPr>
  </w:style>
  <w:style w:type="character" w:customStyle="1" w:styleId="CommentTextChar">
    <w:name w:val="Comment Text Char"/>
    <w:basedOn w:val="DefaultParagraphFont"/>
    <w:link w:val="CommentText"/>
    <w:uiPriority w:val="99"/>
    <w:semiHidden/>
    <w:rsid w:val="00581C14"/>
    <w:rPr>
      <w:lang w:eastAsia="en-US"/>
    </w:rPr>
  </w:style>
  <w:style w:type="paragraph" w:styleId="CommentSubject">
    <w:name w:val="annotation subject"/>
    <w:basedOn w:val="CommentText"/>
    <w:next w:val="CommentText"/>
    <w:link w:val="CommentSubjectChar"/>
    <w:uiPriority w:val="99"/>
    <w:semiHidden/>
    <w:unhideWhenUsed/>
    <w:rsid w:val="00581C14"/>
    <w:rPr>
      <w:b/>
      <w:bCs/>
    </w:rPr>
  </w:style>
  <w:style w:type="character" w:customStyle="1" w:styleId="CommentSubjectChar">
    <w:name w:val="Comment Subject Char"/>
    <w:basedOn w:val="CommentTextChar"/>
    <w:link w:val="CommentSubject"/>
    <w:uiPriority w:val="99"/>
    <w:semiHidden/>
    <w:rsid w:val="00581C14"/>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F6DDE"/>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DDE"/>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DD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6DD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DD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DD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DD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DD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6DD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rsid w:val="0041430E"/>
    <w:pPr>
      <w:ind w:left="720"/>
    </w:pPr>
    <w:rPr>
      <w:rFonts w:asciiTheme="minorHAnsi" w:hAnsiTheme="minorHAnsi"/>
      <w:sz w:val="20"/>
      <w:szCs w:val="20"/>
    </w:rPr>
  </w:style>
  <w:style w:type="paragraph" w:styleId="TableofFigures">
    <w:name w:val="table of figures"/>
    <w:aliases w:val="LIST OF TABLES"/>
    <w:basedOn w:val="Normal"/>
    <w:next w:val="Normal"/>
    <w:uiPriority w:val="99"/>
    <w:unhideWhenUsed/>
    <w:qFormat/>
    <w:rsid w:val="0041430E"/>
    <w:pPr>
      <w:ind w:left="480" w:hanging="480"/>
    </w:pPr>
  </w:style>
  <w:style w:type="table" w:styleId="TableGrid">
    <w:name w:val="Table Grid"/>
    <w:basedOn w:val="TableNormal"/>
    <w:uiPriority w:val="59"/>
    <w:rsid w:val="00140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6DDE"/>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DF6DD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F6DDE"/>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DF6DDE"/>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DF6DDE"/>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6DD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DF6DD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DF6DD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6DDE"/>
    <w:rPr>
      <w:rFonts w:asciiTheme="majorHAnsi" w:eastAsiaTheme="majorEastAsia" w:hAnsiTheme="majorHAnsi" w:cstheme="majorBidi"/>
      <w:i/>
      <w:iCs/>
      <w:color w:val="404040" w:themeColor="text1" w:themeTint="BF"/>
      <w:lang w:eastAsia="en-US"/>
    </w:rPr>
  </w:style>
  <w:style w:type="paragraph" w:styleId="BalloonText">
    <w:name w:val="Balloon Text"/>
    <w:basedOn w:val="Normal"/>
    <w:link w:val="BalloonTextChar"/>
    <w:uiPriority w:val="99"/>
    <w:semiHidden/>
    <w:unhideWhenUsed/>
    <w:rsid w:val="00581C14"/>
    <w:rPr>
      <w:sz w:val="18"/>
      <w:szCs w:val="18"/>
    </w:rPr>
  </w:style>
  <w:style w:type="character" w:customStyle="1" w:styleId="BalloonTextChar">
    <w:name w:val="Balloon Text Char"/>
    <w:basedOn w:val="DefaultParagraphFont"/>
    <w:link w:val="BalloonText"/>
    <w:uiPriority w:val="99"/>
    <w:semiHidden/>
    <w:rsid w:val="00581C14"/>
    <w:rPr>
      <w:sz w:val="18"/>
      <w:szCs w:val="18"/>
      <w:lang w:eastAsia="en-US"/>
    </w:rPr>
  </w:style>
  <w:style w:type="character" w:styleId="CommentReference">
    <w:name w:val="annotation reference"/>
    <w:basedOn w:val="DefaultParagraphFont"/>
    <w:uiPriority w:val="99"/>
    <w:semiHidden/>
    <w:unhideWhenUsed/>
    <w:rsid w:val="00581C14"/>
    <w:rPr>
      <w:sz w:val="16"/>
      <w:szCs w:val="16"/>
    </w:rPr>
  </w:style>
  <w:style w:type="paragraph" w:styleId="CommentText">
    <w:name w:val="annotation text"/>
    <w:basedOn w:val="Normal"/>
    <w:link w:val="CommentTextChar"/>
    <w:uiPriority w:val="99"/>
    <w:semiHidden/>
    <w:unhideWhenUsed/>
    <w:rsid w:val="00581C14"/>
    <w:rPr>
      <w:sz w:val="20"/>
      <w:szCs w:val="20"/>
    </w:rPr>
  </w:style>
  <w:style w:type="character" w:customStyle="1" w:styleId="CommentTextChar">
    <w:name w:val="Comment Text Char"/>
    <w:basedOn w:val="DefaultParagraphFont"/>
    <w:link w:val="CommentText"/>
    <w:uiPriority w:val="99"/>
    <w:semiHidden/>
    <w:rsid w:val="00581C14"/>
    <w:rPr>
      <w:lang w:eastAsia="en-US"/>
    </w:rPr>
  </w:style>
  <w:style w:type="paragraph" w:styleId="CommentSubject">
    <w:name w:val="annotation subject"/>
    <w:basedOn w:val="CommentText"/>
    <w:next w:val="CommentText"/>
    <w:link w:val="CommentSubjectChar"/>
    <w:uiPriority w:val="99"/>
    <w:semiHidden/>
    <w:unhideWhenUsed/>
    <w:rsid w:val="00581C14"/>
    <w:rPr>
      <w:b/>
      <w:bCs/>
    </w:rPr>
  </w:style>
  <w:style w:type="character" w:customStyle="1" w:styleId="CommentSubjectChar">
    <w:name w:val="Comment Subject Char"/>
    <w:basedOn w:val="CommentTextChar"/>
    <w:link w:val="CommentSubject"/>
    <w:uiPriority w:val="99"/>
    <w:semiHidden/>
    <w:rsid w:val="00581C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369">
      <w:bodyDiv w:val="1"/>
      <w:marLeft w:val="0"/>
      <w:marRight w:val="0"/>
      <w:marTop w:val="0"/>
      <w:marBottom w:val="0"/>
      <w:divBdr>
        <w:top w:val="none" w:sz="0" w:space="0" w:color="auto"/>
        <w:left w:val="none" w:sz="0" w:space="0" w:color="auto"/>
        <w:bottom w:val="none" w:sz="0" w:space="0" w:color="auto"/>
        <w:right w:val="none" w:sz="0" w:space="0" w:color="auto"/>
      </w:divBdr>
      <w:divsChild>
        <w:div w:id="994190887">
          <w:marLeft w:val="446"/>
          <w:marRight w:val="0"/>
          <w:marTop w:val="192"/>
          <w:marBottom w:val="0"/>
          <w:divBdr>
            <w:top w:val="none" w:sz="0" w:space="0" w:color="auto"/>
            <w:left w:val="none" w:sz="0" w:space="0" w:color="auto"/>
            <w:bottom w:val="none" w:sz="0" w:space="0" w:color="auto"/>
            <w:right w:val="none" w:sz="0" w:space="0" w:color="auto"/>
          </w:divBdr>
        </w:div>
        <w:div w:id="267740294">
          <w:marLeft w:val="446"/>
          <w:marRight w:val="0"/>
          <w:marTop w:val="192"/>
          <w:marBottom w:val="0"/>
          <w:divBdr>
            <w:top w:val="none" w:sz="0" w:space="0" w:color="auto"/>
            <w:left w:val="none" w:sz="0" w:space="0" w:color="auto"/>
            <w:bottom w:val="none" w:sz="0" w:space="0" w:color="auto"/>
            <w:right w:val="none" w:sz="0" w:space="0" w:color="auto"/>
          </w:divBdr>
        </w:div>
        <w:div w:id="2101174629">
          <w:marLeft w:val="446"/>
          <w:marRight w:val="0"/>
          <w:marTop w:val="192"/>
          <w:marBottom w:val="0"/>
          <w:divBdr>
            <w:top w:val="none" w:sz="0" w:space="0" w:color="auto"/>
            <w:left w:val="none" w:sz="0" w:space="0" w:color="auto"/>
            <w:bottom w:val="none" w:sz="0" w:space="0" w:color="auto"/>
            <w:right w:val="none" w:sz="0" w:space="0" w:color="auto"/>
          </w:divBdr>
        </w:div>
      </w:divsChild>
    </w:div>
    <w:div w:id="147331031">
      <w:bodyDiv w:val="1"/>
      <w:marLeft w:val="0"/>
      <w:marRight w:val="0"/>
      <w:marTop w:val="0"/>
      <w:marBottom w:val="0"/>
      <w:divBdr>
        <w:top w:val="none" w:sz="0" w:space="0" w:color="auto"/>
        <w:left w:val="none" w:sz="0" w:space="0" w:color="auto"/>
        <w:bottom w:val="none" w:sz="0" w:space="0" w:color="auto"/>
        <w:right w:val="none" w:sz="0" w:space="0" w:color="auto"/>
      </w:divBdr>
    </w:div>
    <w:div w:id="360281963">
      <w:bodyDiv w:val="1"/>
      <w:marLeft w:val="0"/>
      <w:marRight w:val="0"/>
      <w:marTop w:val="0"/>
      <w:marBottom w:val="0"/>
      <w:divBdr>
        <w:top w:val="none" w:sz="0" w:space="0" w:color="auto"/>
        <w:left w:val="none" w:sz="0" w:space="0" w:color="auto"/>
        <w:bottom w:val="none" w:sz="0" w:space="0" w:color="auto"/>
        <w:right w:val="none" w:sz="0" w:space="0" w:color="auto"/>
      </w:divBdr>
    </w:div>
    <w:div w:id="502284809">
      <w:bodyDiv w:val="1"/>
      <w:marLeft w:val="0"/>
      <w:marRight w:val="0"/>
      <w:marTop w:val="0"/>
      <w:marBottom w:val="0"/>
      <w:divBdr>
        <w:top w:val="none" w:sz="0" w:space="0" w:color="auto"/>
        <w:left w:val="none" w:sz="0" w:space="0" w:color="auto"/>
        <w:bottom w:val="none" w:sz="0" w:space="0" w:color="auto"/>
        <w:right w:val="none" w:sz="0" w:space="0" w:color="auto"/>
      </w:divBdr>
    </w:div>
    <w:div w:id="713238105">
      <w:bodyDiv w:val="1"/>
      <w:marLeft w:val="0"/>
      <w:marRight w:val="0"/>
      <w:marTop w:val="0"/>
      <w:marBottom w:val="0"/>
      <w:divBdr>
        <w:top w:val="none" w:sz="0" w:space="0" w:color="auto"/>
        <w:left w:val="none" w:sz="0" w:space="0" w:color="auto"/>
        <w:bottom w:val="none" w:sz="0" w:space="0" w:color="auto"/>
        <w:right w:val="none" w:sz="0" w:space="0" w:color="auto"/>
      </w:divBdr>
    </w:div>
    <w:div w:id="794104197">
      <w:bodyDiv w:val="1"/>
      <w:marLeft w:val="0"/>
      <w:marRight w:val="0"/>
      <w:marTop w:val="0"/>
      <w:marBottom w:val="0"/>
      <w:divBdr>
        <w:top w:val="none" w:sz="0" w:space="0" w:color="auto"/>
        <w:left w:val="none" w:sz="0" w:space="0" w:color="auto"/>
        <w:bottom w:val="none" w:sz="0" w:space="0" w:color="auto"/>
        <w:right w:val="none" w:sz="0" w:space="0" w:color="auto"/>
      </w:divBdr>
    </w:div>
    <w:div w:id="794374974">
      <w:bodyDiv w:val="1"/>
      <w:marLeft w:val="0"/>
      <w:marRight w:val="0"/>
      <w:marTop w:val="0"/>
      <w:marBottom w:val="0"/>
      <w:divBdr>
        <w:top w:val="none" w:sz="0" w:space="0" w:color="auto"/>
        <w:left w:val="none" w:sz="0" w:space="0" w:color="auto"/>
        <w:bottom w:val="none" w:sz="0" w:space="0" w:color="auto"/>
        <w:right w:val="none" w:sz="0" w:space="0" w:color="auto"/>
      </w:divBdr>
    </w:div>
    <w:div w:id="855735397">
      <w:bodyDiv w:val="1"/>
      <w:marLeft w:val="0"/>
      <w:marRight w:val="0"/>
      <w:marTop w:val="0"/>
      <w:marBottom w:val="0"/>
      <w:divBdr>
        <w:top w:val="none" w:sz="0" w:space="0" w:color="auto"/>
        <w:left w:val="none" w:sz="0" w:space="0" w:color="auto"/>
        <w:bottom w:val="none" w:sz="0" w:space="0" w:color="auto"/>
        <w:right w:val="none" w:sz="0" w:space="0" w:color="auto"/>
      </w:divBdr>
    </w:div>
    <w:div w:id="1004281509">
      <w:bodyDiv w:val="1"/>
      <w:marLeft w:val="0"/>
      <w:marRight w:val="0"/>
      <w:marTop w:val="0"/>
      <w:marBottom w:val="0"/>
      <w:divBdr>
        <w:top w:val="none" w:sz="0" w:space="0" w:color="auto"/>
        <w:left w:val="none" w:sz="0" w:space="0" w:color="auto"/>
        <w:bottom w:val="none" w:sz="0" w:space="0" w:color="auto"/>
        <w:right w:val="none" w:sz="0" w:space="0" w:color="auto"/>
      </w:divBdr>
    </w:div>
    <w:div w:id="1357342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2019</Words>
  <Characters>11509</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Hohn</dc:creator>
  <cp:keywords/>
  <dc:description/>
  <cp:lastModifiedBy>Kris Hohn</cp:lastModifiedBy>
  <cp:revision>3</cp:revision>
  <dcterms:created xsi:type="dcterms:W3CDTF">2018-08-31T15:56:00Z</dcterms:created>
  <dcterms:modified xsi:type="dcterms:W3CDTF">2018-08-31T16:09:00Z</dcterms:modified>
</cp:coreProperties>
</file>